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9F" w:rsidRDefault="00DD17D2" w:rsidP="00DD17D2">
      <w:pPr>
        <w:jc w:val="center"/>
        <w:rPr>
          <w:rFonts w:ascii="Arial" w:hAnsi="Arial" w:cs="Arial"/>
          <w:u w:val="single"/>
        </w:rPr>
      </w:pPr>
      <w:r>
        <w:rPr>
          <w:rFonts w:ascii="Arial" w:hAnsi="Arial" w:cs="Arial"/>
          <w:u w:val="single"/>
        </w:rPr>
        <w:t xml:space="preserve">IMPACT OF COVID 19 ON NEW YORK </w:t>
      </w:r>
      <w:r w:rsidR="00D91FAC" w:rsidRPr="00D91FAC">
        <w:rPr>
          <w:rFonts w:ascii="Arial" w:hAnsi="Arial" w:cs="Arial"/>
          <w:u w:val="single"/>
        </w:rPr>
        <w:t>LABOR LAW</w:t>
      </w:r>
    </w:p>
    <w:p w:rsidR="00B03BB1" w:rsidRDefault="00B03BB1" w:rsidP="00B03BB1">
      <w:pPr>
        <w:rPr>
          <w:rFonts w:ascii="Arial" w:hAnsi="Arial" w:cs="Arial"/>
          <w:u w:val="single"/>
        </w:rPr>
      </w:pPr>
    </w:p>
    <w:p w:rsidR="00B03BB1" w:rsidRPr="00B03BB1" w:rsidRDefault="00B03BB1" w:rsidP="00B03BB1">
      <w:pPr>
        <w:rPr>
          <w:rFonts w:ascii="Arial" w:hAnsi="Arial" w:cs="Arial"/>
        </w:rPr>
      </w:pPr>
      <w:r w:rsidRPr="00B03BB1">
        <w:rPr>
          <w:rFonts w:ascii="Arial" w:hAnsi="Arial" w:cs="Arial"/>
        </w:rPr>
        <w:t>June 27, 2020</w:t>
      </w:r>
    </w:p>
    <w:p w:rsidR="00B03BB1" w:rsidRDefault="00B03BB1">
      <w:pPr>
        <w:rPr>
          <w:rFonts w:ascii="Arial" w:hAnsi="Arial" w:cs="Arial"/>
        </w:rPr>
      </w:pPr>
    </w:p>
    <w:p w:rsidR="00D91FAC" w:rsidRPr="00B03BB1" w:rsidRDefault="00B03BB1">
      <w:pPr>
        <w:rPr>
          <w:rFonts w:ascii="Arial" w:hAnsi="Arial" w:cs="Arial"/>
        </w:rPr>
      </w:pPr>
      <w:r w:rsidRPr="00B03BB1">
        <w:rPr>
          <w:rFonts w:ascii="Arial" w:hAnsi="Arial" w:cs="Arial"/>
        </w:rPr>
        <w:t>Authors:</w:t>
      </w:r>
    </w:p>
    <w:p w:rsidR="00B03BB1" w:rsidRDefault="00B03BB1" w:rsidP="00AF44D8">
      <w:pPr>
        <w:jc w:val="both"/>
        <w:rPr>
          <w:rFonts w:ascii="Arial" w:hAnsi="Arial" w:cs="Arial"/>
          <w:bCs/>
        </w:rPr>
      </w:pPr>
    </w:p>
    <w:p w:rsidR="00B03BB1" w:rsidRDefault="00B03BB1" w:rsidP="00AF44D8">
      <w:pPr>
        <w:jc w:val="both"/>
        <w:rPr>
          <w:rFonts w:ascii="Arial" w:hAnsi="Arial" w:cs="Arial"/>
          <w:bCs/>
        </w:rPr>
      </w:pPr>
      <w:r>
        <w:rPr>
          <w:rFonts w:ascii="Arial" w:hAnsi="Arial" w:cs="Arial"/>
          <w:bCs/>
        </w:rPr>
        <w:t>Stuart G. Glass – Partner</w:t>
      </w:r>
    </w:p>
    <w:p w:rsidR="00B03BB1" w:rsidRDefault="00B03BB1" w:rsidP="00AF44D8">
      <w:pPr>
        <w:jc w:val="both"/>
        <w:rPr>
          <w:rFonts w:ascii="Arial" w:hAnsi="Arial" w:cs="Arial"/>
          <w:bCs/>
        </w:rPr>
      </w:pPr>
      <w:r>
        <w:rPr>
          <w:rFonts w:ascii="Arial" w:hAnsi="Arial" w:cs="Arial"/>
          <w:bCs/>
        </w:rPr>
        <w:br/>
        <w:t>Brian J. Divney</w:t>
      </w:r>
    </w:p>
    <w:p w:rsidR="00B03BB1" w:rsidRDefault="00B03BB1" w:rsidP="00AF44D8">
      <w:pPr>
        <w:jc w:val="both"/>
        <w:rPr>
          <w:rFonts w:ascii="Arial" w:hAnsi="Arial" w:cs="Arial"/>
          <w:bCs/>
        </w:rPr>
      </w:pPr>
    </w:p>
    <w:p w:rsidR="00B03BB1" w:rsidRDefault="00B03BB1" w:rsidP="00AF44D8">
      <w:pPr>
        <w:jc w:val="both"/>
        <w:rPr>
          <w:rFonts w:ascii="Arial" w:hAnsi="Arial" w:cs="Arial"/>
          <w:bCs/>
        </w:rPr>
      </w:pPr>
    </w:p>
    <w:p w:rsidR="002A0685" w:rsidRDefault="00DD17D2" w:rsidP="00AF44D8">
      <w:pPr>
        <w:jc w:val="both"/>
        <w:rPr>
          <w:rFonts w:ascii="Arial" w:hAnsi="Arial" w:cs="Arial"/>
          <w:bCs/>
        </w:rPr>
      </w:pPr>
      <w:r>
        <w:rPr>
          <w:rFonts w:ascii="Arial" w:hAnsi="Arial" w:cs="Arial"/>
          <w:bCs/>
        </w:rPr>
        <w:t xml:space="preserve">As </w:t>
      </w:r>
      <w:r w:rsidR="002E53D6">
        <w:rPr>
          <w:rFonts w:ascii="Arial" w:hAnsi="Arial" w:cs="Arial"/>
          <w:bCs/>
        </w:rPr>
        <w:t xml:space="preserve">metropolitan </w:t>
      </w:r>
      <w:r>
        <w:rPr>
          <w:rFonts w:ascii="Arial" w:hAnsi="Arial" w:cs="Arial"/>
          <w:bCs/>
        </w:rPr>
        <w:t xml:space="preserve">construction is a “growth industry” so with it is the evolution and </w:t>
      </w:r>
      <w:r w:rsidR="0016165A">
        <w:rPr>
          <w:rFonts w:ascii="Arial" w:hAnsi="Arial" w:cs="Arial"/>
          <w:bCs/>
        </w:rPr>
        <w:t>expansion</w:t>
      </w:r>
      <w:r>
        <w:rPr>
          <w:rFonts w:ascii="Arial" w:hAnsi="Arial" w:cs="Arial"/>
          <w:bCs/>
        </w:rPr>
        <w:t xml:space="preserve"> of </w:t>
      </w:r>
      <w:r w:rsidR="002E53D6">
        <w:rPr>
          <w:rFonts w:ascii="Arial" w:hAnsi="Arial" w:cs="Arial"/>
          <w:bCs/>
        </w:rPr>
        <w:t xml:space="preserve">New York </w:t>
      </w:r>
      <w:r>
        <w:rPr>
          <w:rFonts w:ascii="Arial" w:hAnsi="Arial" w:cs="Arial"/>
          <w:bCs/>
        </w:rPr>
        <w:t xml:space="preserve">Labor Law litigation.  Labor Law claims and </w:t>
      </w:r>
      <w:r w:rsidR="002A0685">
        <w:rPr>
          <w:rFonts w:ascii="Arial" w:hAnsi="Arial" w:cs="Arial"/>
          <w:bCs/>
        </w:rPr>
        <w:t xml:space="preserve">their </w:t>
      </w:r>
      <w:r w:rsidR="00B17D7D">
        <w:rPr>
          <w:rFonts w:ascii="Arial" w:hAnsi="Arial" w:cs="Arial"/>
          <w:bCs/>
        </w:rPr>
        <w:t>progeny</w:t>
      </w:r>
      <w:r w:rsidR="002A0685">
        <w:rPr>
          <w:rFonts w:ascii="Arial" w:hAnsi="Arial" w:cs="Arial"/>
          <w:bCs/>
        </w:rPr>
        <w:t xml:space="preserve"> are </w:t>
      </w:r>
      <w:r w:rsidR="00B17D7D">
        <w:rPr>
          <w:rFonts w:ascii="Arial" w:hAnsi="Arial" w:cs="Arial"/>
          <w:bCs/>
        </w:rPr>
        <w:t>continuously</w:t>
      </w:r>
      <w:r w:rsidR="002A0685">
        <w:rPr>
          <w:rFonts w:ascii="Arial" w:hAnsi="Arial" w:cs="Arial"/>
          <w:bCs/>
        </w:rPr>
        <w:t xml:space="preserve"> changing with the advent of technological advances</w:t>
      </w:r>
      <w:r w:rsidR="0016165A">
        <w:rPr>
          <w:rFonts w:ascii="Arial" w:hAnsi="Arial" w:cs="Arial"/>
          <w:bCs/>
        </w:rPr>
        <w:t>, societal changes</w:t>
      </w:r>
      <w:r w:rsidR="002A0685">
        <w:rPr>
          <w:rFonts w:ascii="Arial" w:hAnsi="Arial" w:cs="Arial"/>
          <w:bCs/>
        </w:rPr>
        <w:t xml:space="preserve"> and </w:t>
      </w:r>
      <w:r w:rsidR="00B17D7D">
        <w:rPr>
          <w:rFonts w:ascii="Arial" w:hAnsi="Arial" w:cs="Arial"/>
          <w:bCs/>
        </w:rPr>
        <w:t>environmental</w:t>
      </w:r>
      <w:r w:rsidR="002A0685">
        <w:rPr>
          <w:rFonts w:ascii="Arial" w:hAnsi="Arial" w:cs="Arial"/>
          <w:bCs/>
        </w:rPr>
        <w:t xml:space="preserve"> hazards</w:t>
      </w:r>
      <w:r w:rsidR="00BB096A">
        <w:rPr>
          <w:rFonts w:ascii="Arial" w:hAnsi="Arial" w:cs="Arial"/>
          <w:bCs/>
        </w:rPr>
        <w:t>, f</w:t>
      </w:r>
      <w:r w:rsidR="002A0685">
        <w:rPr>
          <w:rFonts w:ascii="Arial" w:hAnsi="Arial" w:cs="Arial"/>
          <w:bCs/>
        </w:rPr>
        <w:t>rom the</w:t>
      </w:r>
      <w:r w:rsidR="0016165A">
        <w:rPr>
          <w:rFonts w:ascii="Arial" w:hAnsi="Arial" w:cs="Arial"/>
          <w:bCs/>
        </w:rPr>
        <w:t xml:space="preserve"> early</w:t>
      </w:r>
      <w:r w:rsidR="002A0685">
        <w:rPr>
          <w:rFonts w:ascii="Arial" w:hAnsi="Arial" w:cs="Arial"/>
          <w:bCs/>
        </w:rPr>
        <w:t xml:space="preserve"> use of a rickety</w:t>
      </w:r>
      <w:r w:rsidR="0016165A">
        <w:rPr>
          <w:rFonts w:ascii="Arial" w:hAnsi="Arial" w:cs="Arial"/>
          <w:bCs/>
        </w:rPr>
        <w:t xml:space="preserve"> A-frame</w:t>
      </w:r>
      <w:r w:rsidR="002A0685">
        <w:rPr>
          <w:rFonts w:ascii="Arial" w:hAnsi="Arial" w:cs="Arial"/>
          <w:bCs/>
        </w:rPr>
        <w:t xml:space="preserve"> ladder </w:t>
      </w:r>
      <w:r w:rsidR="0016165A">
        <w:rPr>
          <w:rFonts w:ascii="Arial" w:hAnsi="Arial" w:cs="Arial"/>
          <w:bCs/>
        </w:rPr>
        <w:t>elevated upon</w:t>
      </w:r>
      <w:r w:rsidR="002A0685">
        <w:rPr>
          <w:rFonts w:ascii="Arial" w:hAnsi="Arial" w:cs="Arial"/>
          <w:bCs/>
        </w:rPr>
        <w:t xml:space="preserve"> two free standing buckets to the use </w:t>
      </w:r>
      <w:r w:rsidR="002E53D6">
        <w:rPr>
          <w:rFonts w:ascii="Arial" w:hAnsi="Arial" w:cs="Arial"/>
          <w:bCs/>
        </w:rPr>
        <w:t xml:space="preserve">of multi level mechanical </w:t>
      </w:r>
      <w:r w:rsidR="002A0685">
        <w:rPr>
          <w:rFonts w:ascii="Arial" w:hAnsi="Arial" w:cs="Arial"/>
          <w:bCs/>
        </w:rPr>
        <w:t>scaffolds</w:t>
      </w:r>
      <w:r w:rsidR="00BB096A">
        <w:rPr>
          <w:rFonts w:ascii="Arial" w:hAnsi="Arial" w:cs="Arial"/>
          <w:bCs/>
        </w:rPr>
        <w:t>, t</w:t>
      </w:r>
      <w:r w:rsidR="002A0685">
        <w:rPr>
          <w:rFonts w:ascii="Arial" w:hAnsi="Arial" w:cs="Arial"/>
          <w:bCs/>
        </w:rPr>
        <w:t xml:space="preserve">he constant </w:t>
      </w:r>
      <w:r w:rsidR="00B17D7D">
        <w:rPr>
          <w:rFonts w:ascii="Arial" w:hAnsi="Arial" w:cs="Arial"/>
          <w:bCs/>
        </w:rPr>
        <w:t>changes in Labor Law have</w:t>
      </w:r>
      <w:r w:rsidR="002A0685">
        <w:rPr>
          <w:rFonts w:ascii="Arial" w:hAnsi="Arial" w:cs="Arial"/>
          <w:bCs/>
        </w:rPr>
        <w:t xml:space="preserve"> never been more </w:t>
      </w:r>
      <w:r w:rsidR="00D5203F">
        <w:rPr>
          <w:rFonts w:ascii="Arial" w:hAnsi="Arial" w:cs="Arial"/>
          <w:bCs/>
        </w:rPr>
        <w:t>prevalent</w:t>
      </w:r>
      <w:r w:rsidR="002A0685">
        <w:rPr>
          <w:rFonts w:ascii="Arial" w:hAnsi="Arial" w:cs="Arial"/>
          <w:bCs/>
        </w:rPr>
        <w:t xml:space="preserve"> </w:t>
      </w:r>
      <w:r w:rsidR="0016165A">
        <w:rPr>
          <w:rFonts w:ascii="Arial" w:hAnsi="Arial" w:cs="Arial"/>
          <w:bCs/>
        </w:rPr>
        <w:t xml:space="preserve">than </w:t>
      </w:r>
      <w:r w:rsidR="002A0685">
        <w:rPr>
          <w:rFonts w:ascii="Arial" w:hAnsi="Arial" w:cs="Arial"/>
          <w:bCs/>
        </w:rPr>
        <w:t>in the current COVID 19 pandemic.</w:t>
      </w:r>
      <w:r w:rsidR="00A36C62">
        <w:rPr>
          <w:rFonts w:ascii="Arial" w:hAnsi="Arial" w:cs="Arial"/>
          <w:bCs/>
        </w:rPr>
        <w:t xml:space="preserve">  As likely </w:t>
      </w:r>
      <w:r w:rsidR="002E53D6">
        <w:rPr>
          <w:rFonts w:ascii="Arial" w:hAnsi="Arial" w:cs="Arial"/>
          <w:bCs/>
        </w:rPr>
        <w:t xml:space="preserve">it is </w:t>
      </w:r>
      <w:r w:rsidR="00A36C62">
        <w:rPr>
          <w:rFonts w:ascii="Arial" w:hAnsi="Arial" w:cs="Arial"/>
          <w:bCs/>
        </w:rPr>
        <w:t xml:space="preserve">that plaintiffs will attempt to litigate Labor Law claims based on COVID 19 exposure, the likelihood </w:t>
      </w:r>
      <w:r w:rsidR="002E53D6">
        <w:rPr>
          <w:rFonts w:ascii="Arial" w:hAnsi="Arial" w:cs="Arial"/>
          <w:bCs/>
        </w:rPr>
        <w:t>of</w:t>
      </w:r>
      <w:r w:rsidR="00A36C62">
        <w:rPr>
          <w:rFonts w:ascii="Arial" w:hAnsi="Arial" w:cs="Arial"/>
          <w:bCs/>
        </w:rPr>
        <w:t xml:space="preserve"> success remains to be determined</w:t>
      </w:r>
      <w:r w:rsidR="002E53D6">
        <w:rPr>
          <w:rFonts w:ascii="Arial" w:hAnsi="Arial" w:cs="Arial"/>
          <w:bCs/>
        </w:rPr>
        <w:t xml:space="preserve"> as does the theories of defense</w:t>
      </w:r>
      <w:r w:rsidR="00A36C62">
        <w:rPr>
          <w:rFonts w:ascii="Arial" w:hAnsi="Arial" w:cs="Arial"/>
          <w:bCs/>
        </w:rPr>
        <w:t>.</w:t>
      </w:r>
    </w:p>
    <w:p w:rsidR="002A0685" w:rsidRDefault="002A0685" w:rsidP="00AF44D8">
      <w:pPr>
        <w:jc w:val="both"/>
        <w:rPr>
          <w:rFonts w:ascii="Arial" w:hAnsi="Arial" w:cs="Arial"/>
          <w:bCs/>
        </w:rPr>
      </w:pPr>
    </w:p>
    <w:p w:rsidR="002A0685" w:rsidRDefault="002E53D6" w:rsidP="00AF44D8">
      <w:pPr>
        <w:jc w:val="both"/>
        <w:rPr>
          <w:rFonts w:ascii="Arial" w:hAnsi="Arial" w:cs="Arial"/>
          <w:bCs/>
        </w:rPr>
      </w:pPr>
      <w:r>
        <w:rPr>
          <w:rFonts w:ascii="Arial" w:hAnsi="Arial" w:cs="Arial"/>
          <w:bCs/>
        </w:rPr>
        <w:t>This is n</w:t>
      </w:r>
      <w:r w:rsidR="002A0685">
        <w:rPr>
          <w:rFonts w:ascii="Arial" w:hAnsi="Arial" w:cs="Arial"/>
          <w:bCs/>
        </w:rPr>
        <w:t xml:space="preserve">ot the first time that </w:t>
      </w:r>
      <w:r w:rsidR="002862BE">
        <w:rPr>
          <w:rFonts w:ascii="Arial" w:hAnsi="Arial" w:cs="Arial"/>
          <w:bCs/>
        </w:rPr>
        <w:t xml:space="preserve">pandemics have impacted the construction field.  The 1900s showed outbreaks of the Spanish Flu, Asian </w:t>
      </w:r>
      <w:r w:rsidR="00B17D7D">
        <w:rPr>
          <w:rFonts w:ascii="Arial" w:hAnsi="Arial" w:cs="Arial"/>
          <w:bCs/>
        </w:rPr>
        <w:t>flu</w:t>
      </w:r>
      <w:r w:rsidR="002862BE">
        <w:rPr>
          <w:rFonts w:ascii="Arial" w:hAnsi="Arial" w:cs="Arial"/>
          <w:bCs/>
        </w:rPr>
        <w:t xml:space="preserve"> and </w:t>
      </w:r>
      <w:r w:rsidR="002862BE" w:rsidRPr="002862BE">
        <w:rPr>
          <w:rFonts w:ascii="Arial" w:hAnsi="Arial" w:cs="Arial"/>
          <w:bCs/>
        </w:rPr>
        <w:t xml:space="preserve">Hong Kong </w:t>
      </w:r>
      <w:r w:rsidR="002862BE">
        <w:rPr>
          <w:rFonts w:ascii="Arial" w:hAnsi="Arial" w:cs="Arial"/>
          <w:bCs/>
        </w:rPr>
        <w:t xml:space="preserve">flu that resulted in the </w:t>
      </w:r>
      <w:r>
        <w:rPr>
          <w:rFonts w:ascii="Arial" w:hAnsi="Arial" w:cs="Arial"/>
          <w:bCs/>
        </w:rPr>
        <w:t xml:space="preserve">millions of </w:t>
      </w:r>
      <w:r w:rsidR="002862BE">
        <w:rPr>
          <w:rFonts w:ascii="Arial" w:hAnsi="Arial" w:cs="Arial"/>
          <w:bCs/>
        </w:rPr>
        <w:t xml:space="preserve">deaths worldwide.  The 2000s were notable for the spread of the </w:t>
      </w:r>
      <w:r w:rsidR="002862BE" w:rsidRPr="002862BE">
        <w:rPr>
          <w:rFonts w:ascii="Arial" w:hAnsi="Arial" w:cs="Arial"/>
          <w:bCs/>
        </w:rPr>
        <w:t>H5N1</w:t>
      </w:r>
      <w:r w:rsidR="002862BE">
        <w:rPr>
          <w:rFonts w:ascii="Arial" w:hAnsi="Arial" w:cs="Arial"/>
          <w:bCs/>
        </w:rPr>
        <w:t xml:space="preserve"> influenza</w:t>
      </w:r>
      <w:r w:rsidR="0016165A">
        <w:rPr>
          <w:rFonts w:ascii="Arial" w:hAnsi="Arial" w:cs="Arial"/>
          <w:bCs/>
        </w:rPr>
        <w:t xml:space="preserve"> that provided the preamble for</w:t>
      </w:r>
      <w:r>
        <w:rPr>
          <w:rFonts w:ascii="Arial" w:hAnsi="Arial" w:cs="Arial"/>
          <w:bCs/>
        </w:rPr>
        <w:t xml:space="preserve"> construction during</w:t>
      </w:r>
      <w:r w:rsidR="0016165A">
        <w:rPr>
          <w:rFonts w:ascii="Arial" w:hAnsi="Arial" w:cs="Arial"/>
          <w:bCs/>
        </w:rPr>
        <w:t xml:space="preserve"> today</w:t>
      </w:r>
      <w:r>
        <w:rPr>
          <w:rFonts w:ascii="Arial" w:hAnsi="Arial" w:cs="Arial"/>
          <w:bCs/>
        </w:rPr>
        <w:t>’s pandemic</w:t>
      </w:r>
      <w:r w:rsidR="002862BE">
        <w:rPr>
          <w:rFonts w:ascii="Arial" w:hAnsi="Arial" w:cs="Arial"/>
          <w:bCs/>
        </w:rPr>
        <w:t xml:space="preserve">.  Moreover, </w:t>
      </w:r>
      <w:r w:rsidR="00A40E9D">
        <w:rPr>
          <w:rFonts w:ascii="Arial" w:hAnsi="Arial" w:cs="Arial"/>
          <w:bCs/>
        </w:rPr>
        <w:t>environmental</w:t>
      </w:r>
      <w:r w:rsidR="002862BE">
        <w:rPr>
          <w:rFonts w:ascii="Arial" w:hAnsi="Arial" w:cs="Arial"/>
          <w:bCs/>
        </w:rPr>
        <w:t xml:space="preserve"> hazards spawned an entire </w:t>
      </w:r>
      <w:r>
        <w:rPr>
          <w:rFonts w:ascii="Arial" w:hAnsi="Arial" w:cs="Arial"/>
          <w:bCs/>
        </w:rPr>
        <w:t>cottage</w:t>
      </w:r>
      <w:r w:rsidR="002862BE">
        <w:rPr>
          <w:rFonts w:ascii="Arial" w:hAnsi="Arial" w:cs="Arial"/>
          <w:bCs/>
        </w:rPr>
        <w:t xml:space="preserve"> industry devoted to asbestos claims.  </w:t>
      </w:r>
    </w:p>
    <w:p w:rsidR="002862BE" w:rsidRDefault="002862BE" w:rsidP="00AF44D8">
      <w:pPr>
        <w:jc w:val="both"/>
        <w:rPr>
          <w:rFonts w:ascii="Arial" w:hAnsi="Arial" w:cs="Arial"/>
          <w:bCs/>
        </w:rPr>
      </w:pPr>
    </w:p>
    <w:p w:rsidR="00D61F2E" w:rsidRDefault="003F005D" w:rsidP="00425AEC">
      <w:pPr>
        <w:jc w:val="both"/>
        <w:rPr>
          <w:rFonts w:ascii="Arial" w:hAnsi="Arial" w:cs="Arial"/>
          <w:bCs/>
        </w:rPr>
      </w:pPr>
      <w:r>
        <w:rPr>
          <w:rFonts w:ascii="Arial" w:hAnsi="Arial" w:cs="Arial"/>
          <w:bCs/>
        </w:rPr>
        <w:t xml:space="preserve">It is vital to understand the safeguards and requirements already in place </w:t>
      </w:r>
      <w:r w:rsidR="002E53D6">
        <w:rPr>
          <w:rFonts w:ascii="Arial" w:hAnsi="Arial" w:cs="Arial"/>
          <w:bCs/>
        </w:rPr>
        <w:t xml:space="preserve">that </w:t>
      </w:r>
      <w:r>
        <w:rPr>
          <w:rFonts w:ascii="Arial" w:hAnsi="Arial" w:cs="Arial"/>
          <w:bCs/>
        </w:rPr>
        <w:t>evolv</w:t>
      </w:r>
      <w:r w:rsidR="002E53D6">
        <w:rPr>
          <w:rFonts w:ascii="Arial" w:hAnsi="Arial" w:cs="Arial"/>
          <w:bCs/>
        </w:rPr>
        <w:t>e</w:t>
      </w:r>
      <w:r>
        <w:rPr>
          <w:rFonts w:ascii="Arial" w:hAnsi="Arial" w:cs="Arial"/>
          <w:bCs/>
        </w:rPr>
        <w:t xml:space="preserve"> as each day passes.  </w:t>
      </w:r>
      <w:r w:rsidR="00B17D7D">
        <w:rPr>
          <w:rFonts w:ascii="Arial" w:hAnsi="Arial" w:cs="Arial"/>
          <w:bCs/>
        </w:rPr>
        <w:t xml:space="preserve">Prior to pandemics impacting workplaces, OSHA was the standard bearer in worker personal protection to environmental hazards, but now reconciling the prior standards with new requirements, as set forth by the CDC, as well as the Federal and State government, have becomes the “new normal” in evaluating potential claims under </w:t>
      </w:r>
      <w:r w:rsidR="00B17D7D" w:rsidRPr="00DD17D2">
        <w:rPr>
          <w:rFonts w:ascii="Arial" w:hAnsi="Arial" w:cs="Arial"/>
          <w:bCs/>
        </w:rPr>
        <w:t>Labor Law Section</w:t>
      </w:r>
      <w:r w:rsidR="00B17D7D">
        <w:rPr>
          <w:rFonts w:ascii="Arial" w:hAnsi="Arial" w:cs="Arial"/>
          <w:bCs/>
        </w:rPr>
        <w:t>s</w:t>
      </w:r>
      <w:r w:rsidR="00B17D7D" w:rsidRPr="00DD17D2">
        <w:rPr>
          <w:rFonts w:ascii="Arial" w:hAnsi="Arial" w:cs="Arial"/>
          <w:bCs/>
        </w:rPr>
        <w:t xml:space="preserve"> 200</w:t>
      </w:r>
      <w:r w:rsidR="00B17D7D">
        <w:rPr>
          <w:rFonts w:ascii="Arial" w:hAnsi="Arial" w:cs="Arial"/>
          <w:bCs/>
        </w:rPr>
        <w:t xml:space="preserve"> and 241(6).  </w:t>
      </w:r>
      <w:r w:rsidR="00425AEC">
        <w:rPr>
          <w:rFonts w:ascii="Arial" w:hAnsi="Arial" w:cs="Arial"/>
          <w:bCs/>
        </w:rPr>
        <w:t>I</w:t>
      </w:r>
      <w:r w:rsidR="00D61F2E">
        <w:rPr>
          <w:rFonts w:ascii="Arial" w:hAnsi="Arial" w:cs="Arial"/>
          <w:bCs/>
        </w:rPr>
        <w:t xml:space="preserve">n 2006, </w:t>
      </w:r>
      <w:r w:rsidR="00B17D7D">
        <w:rPr>
          <w:rFonts w:ascii="Arial" w:hAnsi="Arial" w:cs="Arial"/>
          <w:bCs/>
        </w:rPr>
        <w:t>the National</w:t>
      </w:r>
      <w:r w:rsidR="00D61F2E" w:rsidRPr="00D61F2E">
        <w:rPr>
          <w:rFonts w:ascii="Arial" w:hAnsi="Arial" w:cs="Arial"/>
          <w:bCs/>
        </w:rPr>
        <w:t xml:space="preserve"> Strategy for </w:t>
      </w:r>
      <w:r w:rsidR="00D61F2E">
        <w:rPr>
          <w:rFonts w:ascii="Arial" w:hAnsi="Arial" w:cs="Arial"/>
          <w:bCs/>
        </w:rPr>
        <w:t>P</w:t>
      </w:r>
      <w:r w:rsidR="00D61F2E" w:rsidRPr="00D61F2E">
        <w:rPr>
          <w:rFonts w:ascii="Arial" w:hAnsi="Arial" w:cs="Arial"/>
          <w:bCs/>
        </w:rPr>
        <w:t xml:space="preserve">andemic </w:t>
      </w:r>
      <w:r w:rsidR="00D61F2E">
        <w:rPr>
          <w:rFonts w:ascii="Arial" w:hAnsi="Arial" w:cs="Arial"/>
          <w:bCs/>
        </w:rPr>
        <w:t>I</w:t>
      </w:r>
      <w:r w:rsidR="00D61F2E" w:rsidRPr="00D61F2E">
        <w:rPr>
          <w:rFonts w:ascii="Arial" w:hAnsi="Arial" w:cs="Arial"/>
          <w:bCs/>
        </w:rPr>
        <w:t>nfluenza</w:t>
      </w:r>
      <w:r w:rsidR="00D61F2E">
        <w:rPr>
          <w:rFonts w:ascii="Arial" w:hAnsi="Arial" w:cs="Arial"/>
          <w:bCs/>
        </w:rPr>
        <w:t xml:space="preserve"> - </w:t>
      </w:r>
      <w:r w:rsidR="00D61F2E" w:rsidRPr="00D61F2E">
        <w:rPr>
          <w:rFonts w:ascii="Arial" w:hAnsi="Arial" w:cs="Arial"/>
          <w:bCs/>
        </w:rPr>
        <w:t>implementation plan</w:t>
      </w:r>
      <w:r w:rsidR="00D61F2E">
        <w:rPr>
          <w:rFonts w:ascii="Arial" w:hAnsi="Arial" w:cs="Arial"/>
          <w:bCs/>
        </w:rPr>
        <w:t xml:space="preserve"> was </w:t>
      </w:r>
      <w:r w:rsidR="00B17D7D">
        <w:rPr>
          <w:rFonts w:ascii="Arial" w:hAnsi="Arial" w:cs="Arial"/>
          <w:bCs/>
        </w:rPr>
        <w:t>disseminated</w:t>
      </w:r>
      <w:r w:rsidR="00D61F2E">
        <w:rPr>
          <w:rFonts w:ascii="Arial" w:hAnsi="Arial" w:cs="Arial"/>
          <w:bCs/>
        </w:rPr>
        <w:t xml:space="preserve"> by the CDC.</w:t>
      </w:r>
      <w:r w:rsidR="00D61F2E">
        <w:rPr>
          <w:rStyle w:val="FootnoteReference"/>
          <w:rFonts w:ascii="Arial" w:hAnsi="Arial" w:cs="Arial"/>
          <w:bCs/>
        </w:rPr>
        <w:footnoteReference w:id="1"/>
      </w:r>
      <w:r w:rsidR="00D61F2E">
        <w:rPr>
          <w:rFonts w:ascii="Arial" w:hAnsi="Arial" w:cs="Arial"/>
          <w:bCs/>
        </w:rPr>
        <w:t xml:space="preserve">  Then and now the safety plans focused on preparation, preparation and preparation followed by industry specific implementation.</w:t>
      </w:r>
      <w:r w:rsidR="00D61F2E">
        <w:rPr>
          <w:rStyle w:val="FootnoteReference"/>
          <w:rFonts w:ascii="Arial" w:hAnsi="Arial" w:cs="Arial"/>
          <w:bCs/>
        </w:rPr>
        <w:footnoteReference w:id="2"/>
      </w:r>
      <w:r w:rsidR="00D61F2E">
        <w:rPr>
          <w:rFonts w:ascii="Arial" w:hAnsi="Arial" w:cs="Arial"/>
          <w:bCs/>
        </w:rPr>
        <w:t xml:space="preserve">  The 2006 standards ring true today as the focus </w:t>
      </w:r>
      <w:r w:rsidR="00037B42">
        <w:rPr>
          <w:rFonts w:ascii="Arial" w:hAnsi="Arial" w:cs="Arial"/>
          <w:bCs/>
        </w:rPr>
        <w:t xml:space="preserve">then and now are </w:t>
      </w:r>
      <w:r w:rsidR="00D61F2E">
        <w:rPr>
          <w:rFonts w:ascii="Arial" w:hAnsi="Arial" w:cs="Arial"/>
          <w:bCs/>
        </w:rPr>
        <w:t xml:space="preserve">placed upon transmission, social distancing, face masks, proper </w:t>
      </w:r>
      <w:r w:rsidR="00522D7E">
        <w:rPr>
          <w:rFonts w:ascii="Arial" w:hAnsi="Arial" w:cs="Arial"/>
          <w:bCs/>
        </w:rPr>
        <w:t>hygiene</w:t>
      </w:r>
      <w:r w:rsidR="00D61F2E">
        <w:rPr>
          <w:rFonts w:ascii="Arial" w:hAnsi="Arial" w:cs="Arial"/>
          <w:bCs/>
        </w:rPr>
        <w:t xml:space="preserve"> and disinfection.</w:t>
      </w:r>
    </w:p>
    <w:p w:rsidR="003F005D" w:rsidRDefault="003F005D" w:rsidP="00AF44D8">
      <w:pPr>
        <w:jc w:val="both"/>
        <w:rPr>
          <w:rFonts w:ascii="Arial" w:hAnsi="Arial" w:cs="Arial"/>
          <w:bCs/>
        </w:rPr>
      </w:pPr>
    </w:p>
    <w:p w:rsidR="00522D7E" w:rsidRDefault="00425AEC" w:rsidP="00AF44D8">
      <w:pPr>
        <w:jc w:val="both"/>
        <w:rPr>
          <w:rFonts w:ascii="Arial" w:hAnsi="Arial" w:cs="Arial"/>
        </w:rPr>
      </w:pPr>
      <w:r>
        <w:rPr>
          <w:rFonts w:ascii="Arial" w:hAnsi="Arial" w:cs="Arial"/>
          <w:bCs/>
        </w:rPr>
        <w:t>New York Labor Law standards supply the predicate necessary for establishing a prima facia case</w:t>
      </w:r>
      <w:r w:rsidR="00CB164B">
        <w:rPr>
          <w:rFonts w:ascii="Arial" w:hAnsi="Arial" w:cs="Arial"/>
          <w:bCs/>
        </w:rPr>
        <w:t xml:space="preserve"> in the absence of a properly developed and implanted safety plan.  </w:t>
      </w:r>
      <w:r w:rsidR="003F005D">
        <w:rPr>
          <w:rFonts w:ascii="Arial" w:hAnsi="Arial" w:cs="Arial"/>
          <w:bCs/>
        </w:rPr>
        <w:t>Labor Law Section 200</w:t>
      </w:r>
      <w:r w:rsidR="00DD17D2" w:rsidRPr="00DD17D2">
        <w:rPr>
          <w:rFonts w:ascii="Arial" w:hAnsi="Arial" w:cs="Arial"/>
          <w:bCs/>
        </w:rPr>
        <w:t xml:space="preserve"> is a codification of the common law, duty of an owner or a contractor to provide a safe workplace to a worker</w:t>
      </w:r>
      <w:r w:rsidR="00310B21">
        <w:rPr>
          <w:rFonts w:ascii="Arial" w:hAnsi="Arial" w:cs="Arial"/>
          <w:bCs/>
        </w:rPr>
        <w:t xml:space="preserve"> by imposing</w:t>
      </w:r>
      <w:r w:rsidR="00310B21" w:rsidRPr="00310B21">
        <w:rPr>
          <w:rFonts w:ascii="Arial" w:hAnsi="Arial" w:cs="Arial"/>
        </w:rPr>
        <w:t xml:space="preserve"> </w:t>
      </w:r>
      <w:r w:rsidR="00310B21" w:rsidRPr="00D91FAC">
        <w:rPr>
          <w:rFonts w:ascii="Arial" w:hAnsi="Arial" w:cs="Arial"/>
        </w:rPr>
        <w:t>a negligence stan</w:t>
      </w:r>
      <w:r w:rsidR="00CB164B">
        <w:rPr>
          <w:rFonts w:ascii="Arial" w:hAnsi="Arial" w:cs="Arial"/>
        </w:rPr>
        <w:t>dard upon owners or contractors.</w:t>
      </w:r>
      <w:r w:rsidR="00CB164B">
        <w:rPr>
          <w:rStyle w:val="FootnoteReference"/>
          <w:rFonts w:ascii="Arial" w:hAnsi="Arial" w:cs="Arial"/>
        </w:rPr>
        <w:footnoteReference w:id="3"/>
      </w:r>
      <w:r w:rsidR="00CB164B">
        <w:rPr>
          <w:rFonts w:ascii="Arial" w:hAnsi="Arial" w:cs="Arial"/>
        </w:rPr>
        <w:t xml:space="preserve">  </w:t>
      </w:r>
      <w:r w:rsidR="00DD17D2" w:rsidRPr="00DD17D2">
        <w:rPr>
          <w:rFonts w:ascii="Arial" w:hAnsi="Arial" w:cs="Arial"/>
          <w:bCs/>
        </w:rPr>
        <w:t>There are two categories of cases that are evaluated under Labor Law Section 200, means and methods of the work and the condition of the premises.</w:t>
      </w:r>
      <w:r w:rsidR="003F005D">
        <w:rPr>
          <w:rFonts w:ascii="Arial" w:hAnsi="Arial" w:cs="Arial"/>
          <w:bCs/>
        </w:rPr>
        <w:t xml:space="preserve">  </w:t>
      </w:r>
      <w:r w:rsidR="00D91FAC" w:rsidRPr="00D91FAC">
        <w:rPr>
          <w:rFonts w:ascii="Arial" w:hAnsi="Arial" w:cs="Arial"/>
        </w:rPr>
        <w:t>When an accident arises from the means and methods of construction work, liability will not be imposed unless the owners or contractors have notice of a dangerous condition and supervise and/or control the work.</w:t>
      </w:r>
      <w:r w:rsidR="00CB164B">
        <w:rPr>
          <w:rStyle w:val="FootnoteReference"/>
          <w:rFonts w:ascii="Arial" w:hAnsi="Arial" w:cs="Arial"/>
        </w:rPr>
        <w:footnoteReference w:id="4"/>
      </w:r>
      <w:r w:rsidR="00D91FAC" w:rsidRPr="00D91FAC">
        <w:rPr>
          <w:rFonts w:ascii="Arial" w:hAnsi="Arial" w:cs="Arial"/>
        </w:rPr>
        <w:t xml:space="preserve">  </w:t>
      </w:r>
    </w:p>
    <w:p w:rsidR="00522D7E" w:rsidRDefault="00522D7E" w:rsidP="00AF44D8">
      <w:pPr>
        <w:jc w:val="both"/>
        <w:rPr>
          <w:rFonts w:ascii="Arial" w:hAnsi="Arial" w:cs="Arial"/>
        </w:rPr>
      </w:pPr>
    </w:p>
    <w:p w:rsidR="00A46E2F" w:rsidRDefault="00522D7E" w:rsidP="00AF44D8">
      <w:pPr>
        <w:jc w:val="both"/>
        <w:rPr>
          <w:rFonts w:ascii="Arial" w:hAnsi="Arial" w:cs="Arial"/>
        </w:rPr>
      </w:pPr>
      <w:r>
        <w:rPr>
          <w:rFonts w:ascii="Arial" w:hAnsi="Arial" w:cs="Arial"/>
        </w:rPr>
        <w:t xml:space="preserve">Additionally, </w:t>
      </w:r>
      <w:r w:rsidR="00D91FAC" w:rsidRPr="00D91FAC">
        <w:rPr>
          <w:rFonts w:ascii="Arial" w:hAnsi="Arial" w:cs="Arial"/>
        </w:rPr>
        <w:t>Labor Law § 241(6) imposes a non-delegable duty on owners and contractors to provide reasonable and adequate protection to workers and renders the owner/general contractor liable for injuries that are a proximately caused by the alleged violations.</w:t>
      </w:r>
      <w:r w:rsidR="00CB164B">
        <w:rPr>
          <w:rStyle w:val="FootnoteReference"/>
          <w:rFonts w:ascii="Arial" w:hAnsi="Arial" w:cs="Arial"/>
        </w:rPr>
        <w:footnoteReference w:id="5"/>
      </w:r>
      <w:r w:rsidR="00D91FAC" w:rsidRPr="00D91FAC">
        <w:rPr>
          <w:rFonts w:ascii="Arial" w:hAnsi="Arial" w:cs="Arial"/>
          <w:i/>
          <w:iCs/>
        </w:rPr>
        <w:t xml:space="preserve">  </w:t>
      </w:r>
      <w:r w:rsidR="00D91FAC" w:rsidRPr="00D91FAC">
        <w:rPr>
          <w:rFonts w:ascii="Arial" w:hAnsi="Arial" w:cs="Arial"/>
        </w:rPr>
        <w:t xml:space="preserve">This section only applies to violations of standards/rules promulgated under the New York Code of Rules and Regulations (Industrial Code portion) and only to those standard/rules, which contain </w:t>
      </w:r>
      <w:r w:rsidR="00D91FAC" w:rsidRPr="00D91FAC">
        <w:rPr>
          <w:rFonts w:ascii="Arial" w:hAnsi="Arial" w:cs="Arial"/>
          <w:i/>
          <w:iCs/>
        </w:rPr>
        <w:t>specific</w:t>
      </w:r>
      <w:r w:rsidR="00D91FAC" w:rsidRPr="00D91FAC">
        <w:rPr>
          <w:rFonts w:ascii="Arial" w:hAnsi="Arial" w:cs="Arial"/>
        </w:rPr>
        <w:t xml:space="preserve"> requirements, rather than general site safety standards.</w:t>
      </w:r>
      <w:r w:rsidR="00FF04B5">
        <w:rPr>
          <w:rStyle w:val="FootnoteReference"/>
          <w:rFonts w:ascii="Arial" w:hAnsi="Arial" w:cs="Arial"/>
        </w:rPr>
        <w:footnoteReference w:id="6"/>
      </w:r>
      <w:r w:rsidR="00D91FAC" w:rsidRPr="00D91FAC">
        <w:rPr>
          <w:rFonts w:ascii="Arial" w:hAnsi="Arial" w:cs="Arial"/>
        </w:rPr>
        <w:t xml:space="preserve">  </w:t>
      </w:r>
    </w:p>
    <w:p w:rsidR="00D91FAC" w:rsidRPr="00D91FAC" w:rsidRDefault="00D91FAC" w:rsidP="00AF44D8">
      <w:pPr>
        <w:jc w:val="both"/>
        <w:rPr>
          <w:rFonts w:ascii="Arial" w:hAnsi="Arial" w:cs="Arial"/>
        </w:rPr>
      </w:pPr>
    </w:p>
    <w:p w:rsidR="00E91A63" w:rsidRDefault="001A76F4" w:rsidP="00AF44D8">
      <w:pPr>
        <w:jc w:val="both"/>
        <w:rPr>
          <w:rFonts w:ascii="Arial" w:hAnsi="Arial" w:cs="Arial"/>
        </w:rPr>
      </w:pPr>
      <w:r>
        <w:rPr>
          <w:rFonts w:ascii="Arial" w:hAnsi="Arial" w:cs="Arial"/>
        </w:rPr>
        <w:t xml:space="preserve">On March 20, 2020, </w:t>
      </w:r>
      <w:r w:rsidR="0016165A">
        <w:rPr>
          <w:rFonts w:ascii="Arial" w:hAnsi="Arial" w:cs="Arial"/>
        </w:rPr>
        <w:t xml:space="preserve">Governor </w:t>
      </w:r>
      <w:r>
        <w:rPr>
          <w:rFonts w:ascii="Arial" w:hAnsi="Arial" w:cs="Arial"/>
        </w:rPr>
        <w:t xml:space="preserve">Cuomo announced the PAUSE executive order that </w:t>
      </w:r>
      <w:r w:rsidR="0016165A">
        <w:rPr>
          <w:rFonts w:ascii="Arial" w:hAnsi="Arial" w:cs="Arial"/>
        </w:rPr>
        <w:t xml:space="preserve">required the closing of </w:t>
      </w:r>
      <w:r>
        <w:rPr>
          <w:rFonts w:ascii="Arial" w:hAnsi="Arial" w:cs="Arial"/>
        </w:rPr>
        <w:t xml:space="preserve">all non-essential in-office personnel functions as of Sunday, March 22, 2020 at 8 pm.  Essential businesses included </w:t>
      </w:r>
      <w:r w:rsidRPr="001A76F4">
        <w:rPr>
          <w:rFonts w:ascii="Arial" w:hAnsi="Arial" w:cs="Arial"/>
        </w:rPr>
        <w:t>skilled trades</w:t>
      </w:r>
      <w:r>
        <w:rPr>
          <w:rFonts w:ascii="Arial" w:hAnsi="Arial" w:cs="Arial"/>
        </w:rPr>
        <w:t xml:space="preserve"> such as electricians, plumbers, and </w:t>
      </w:r>
      <w:r w:rsidRPr="001A76F4">
        <w:rPr>
          <w:rFonts w:ascii="Arial" w:hAnsi="Arial" w:cs="Arial"/>
        </w:rPr>
        <w:t>other related construction firms and professionals for essential infrastructure or for emergency repair and safety purposes</w:t>
      </w:r>
      <w:r>
        <w:rPr>
          <w:rFonts w:ascii="Arial" w:hAnsi="Arial" w:cs="Arial"/>
        </w:rPr>
        <w:t>.</w:t>
      </w:r>
      <w:r w:rsidR="0016165A">
        <w:rPr>
          <w:rStyle w:val="FootnoteReference"/>
          <w:rFonts w:ascii="Arial" w:hAnsi="Arial" w:cs="Arial"/>
        </w:rPr>
        <w:footnoteReference w:id="7"/>
      </w:r>
    </w:p>
    <w:p w:rsidR="001A76F4" w:rsidRDefault="001A76F4" w:rsidP="00AF44D8">
      <w:pPr>
        <w:jc w:val="both"/>
        <w:rPr>
          <w:rFonts w:ascii="Arial" w:hAnsi="Arial" w:cs="Arial"/>
        </w:rPr>
      </w:pPr>
    </w:p>
    <w:p w:rsidR="007744C3" w:rsidRDefault="00973A01" w:rsidP="00AF44D8">
      <w:pPr>
        <w:jc w:val="both"/>
        <w:rPr>
          <w:rFonts w:ascii="Arial" w:hAnsi="Arial" w:cs="Arial"/>
        </w:rPr>
      </w:pPr>
      <w:r>
        <w:rPr>
          <w:rFonts w:ascii="Arial" w:hAnsi="Arial" w:cs="Arial"/>
        </w:rPr>
        <w:t xml:space="preserve">On March 28, 2020, </w:t>
      </w:r>
      <w:r w:rsidR="001A76F4" w:rsidRPr="001A76F4">
        <w:rPr>
          <w:rFonts w:ascii="Arial" w:hAnsi="Arial" w:cs="Arial"/>
        </w:rPr>
        <w:t xml:space="preserve">Executive Order 202.6 </w:t>
      </w:r>
      <w:r w:rsidR="001A76F4">
        <w:rPr>
          <w:rFonts w:ascii="Arial" w:hAnsi="Arial" w:cs="Arial"/>
        </w:rPr>
        <w:t xml:space="preserve">was </w:t>
      </w:r>
      <w:r w:rsidR="001A76F4" w:rsidRPr="001A76F4">
        <w:rPr>
          <w:rFonts w:ascii="Arial" w:hAnsi="Arial" w:cs="Arial"/>
        </w:rPr>
        <w:t xml:space="preserve">modified to clarify that </w:t>
      </w:r>
      <w:r w:rsidR="007744C3">
        <w:rPr>
          <w:rFonts w:ascii="Arial" w:hAnsi="Arial" w:cs="Arial"/>
        </w:rPr>
        <w:t xml:space="preserve">only </w:t>
      </w:r>
      <w:r w:rsidR="001A76F4" w:rsidRPr="001A76F4">
        <w:rPr>
          <w:rFonts w:ascii="Arial" w:hAnsi="Arial" w:cs="Arial"/>
        </w:rPr>
        <w:t xml:space="preserve">construction which was an essential service </w:t>
      </w:r>
      <w:r w:rsidR="007744C3">
        <w:rPr>
          <w:rFonts w:ascii="Arial" w:hAnsi="Arial" w:cs="Arial"/>
        </w:rPr>
        <w:t xml:space="preserve">was </w:t>
      </w:r>
      <w:r w:rsidR="001A76F4" w:rsidRPr="001A76F4">
        <w:rPr>
          <w:rFonts w:ascii="Arial" w:hAnsi="Arial" w:cs="Arial"/>
        </w:rPr>
        <w:t>not subject to the in-person work restrictions.</w:t>
      </w:r>
      <w:r w:rsidR="0016165A">
        <w:rPr>
          <w:rStyle w:val="FootnoteReference"/>
          <w:rFonts w:ascii="Arial" w:hAnsi="Arial" w:cs="Arial"/>
        </w:rPr>
        <w:footnoteReference w:id="8"/>
      </w:r>
      <w:r w:rsidR="001A76F4" w:rsidRPr="001A76F4">
        <w:rPr>
          <w:rFonts w:ascii="Arial" w:hAnsi="Arial" w:cs="Arial"/>
        </w:rPr>
        <w:t xml:space="preserve">  </w:t>
      </w:r>
    </w:p>
    <w:p w:rsidR="007744C3" w:rsidRDefault="007744C3" w:rsidP="00AF44D8">
      <w:pPr>
        <w:jc w:val="both"/>
        <w:rPr>
          <w:rFonts w:ascii="Arial" w:hAnsi="Arial" w:cs="Arial"/>
        </w:rPr>
      </w:pPr>
    </w:p>
    <w:p w:rsidR="007744C3" w:rsidRPr="007744C3" w:rsidRDefault="007744C3" w:rsidP="007744C3">
      <w:pPr>
        <w:jc w:val="both"/>
        <w:rPr>
          <w:rFonts w:ascii="Arial" w:hAnsi="Arial" w:cs="Arial"/>
        </w:rPr>
      </w:pPr>
      <w:r w:rsidRPr="007744C3">
        <w:rPr>
          <w:rFonts w:ascii="Arial" w:hAnsi="Arial" w:cs="Arial"/>
        </w:rPr>
        <w:t>Essential construction includes:</w:t>
      </w:r>
    </w:p>
    <w:p w:rsidR="007744C3" w:rsidRPr="007744C3" w:rsidRDefault="007744C3" w:rsidP="007744C3">
      <w:pPr>
        <w:jc w:val="both"/>
        <w:rPr>
          <w:rFonts w:ascii="Arial" w:hAnsi="Arial" w:cs="Arial"/>
        </w:rPr>
      </w:pPr>
    </w:p>
    <w:p w:rsidR="007744C3" w:rsidRPr="007744C3" w:rsidRDefault="007744C3" w:rsidP="007744C3">
      <w:pPr>
        <w:pStyle w:val="ListParagraph"/>
        <w:numPr>
          <w:ilvl w:val="0"/>
          <w:numId w:val="2"/>
        </w:numPr>
        <w:jc w:val="both"/>
        <w:rPr>
          <w:rFonts w:ascii="Arial" w:hAnsi="Arial" w:cs="Arial"/>
        </w:rPr>
      </w:pPr>
      <w:r w:rsidRPr="007744C3">
        <w:rPr>
          <w:rFonts w:ascii="Arial" w:hAnsi="Arial" w:cs="Arial"/>
        </w:rPr>
        <w:t>construction for, or your business provides necessary support for construction projects involving, roads, bridges, transit facilities, utilities, hospitals or healthcare facilities, homeless shelters, or public or private schools;</w:t>
      </w:r>
    </w:p>
    <w:p w:rsidR="007744C3" w:rsidRPr="007744C3" w:rsidRDefault="007744C3" w:rsidP="007744C3">
      <w:pPr>
        <w:pStyle w:val="ListParagraph"/>
        <w:numPr>
          <w:ilvl w:val="0"/>
          <w:numId w:val="2"/>
        </w:numPr>
        <w:jc w:val="both"/>
        <w:rPr>
          <w:rFonts w:ascii="Arial" w:hAnsi="Arial" w:cs="Arial"/>
        </w:rPr>
      </w:pPr>
      <w:r w:rsidRPr="007744C3">
        <w:rPr>
          <w:rFonts w:ascii="Arial" w:hAnsi="Arial" w:cs="Arial"/>
        </w:rPr>
        <w:t>construction for affordable housing, as defined as construction work where either (i) a minimum of 20% of the residential units are or will be deemed affordable and are or will be subject to a regulatory agreement and/or a declaration from a local, state, or federal government agency or (ii) where the project is being undertaken by, or on behalf of, a public housing authority;</w:t>
      </w:r>
    </w:p>
    <w:p w:rsidR="007744C3" w:rsidRPr="007744C3" w:rsidRDefault="007744C3" w:rsidP="007744C3">
      <w:pPr>
        <w:pStyle w:val="ListParagraph"/>
        <w:numPr>
          <w:ilvl w:val="0"/>
          <w:numId w:val="2"/>
        </w:numPr>
        <w:jc w:val="both"/>
        <w:rPr>
          <w:rFonts w:ascii="Arial" w:hAnsi="Arial" w:cs="Arial"/>
        </w:rPr>
      </w:pPr>
      <w:r w:rsidRPr="007744C3">
        <w:rPr>
          <w:rFonts w:ascii="Arial" w:hAnsi="Arial" w:cs="Arial"/>
        </w:rPr>
        <w:t>construction necessary to protect the health and safety of occupants of a structure;</w:t>
      </w:r>
    </w:p>
    <w:p w:rsidR="007744C3" w:rsidRPr="007744C3" w:rsidRDefault="007744C3" w:rsidP="007744C3">
      <w:pPr>
        <w:pStyle w:val="ListParagraph"/>
        <w:numPr>
          <w:ilvl w:val="0"/>
          <w:numId w:val="2"/>
        </w:numPr>
        <w:jc w:val="both"/>
        <w:rPr>
          <w:rFonts w:ascii="Arial" w:hAnsi="Arial" w:cs="Arial"/>
        </w:rPr>
      </w:pPr>
      <w:r w:rsidRPr="007744C3">
        <w:rPr>
          <w:rFonts w:ascii="Arial" w:hAnsi="Arial" w:cs="Arial"/>
        </w:rPr>
        <w:t>construction necessary to continue a project if allowing the project to remain undone would be unsafe, provided that the construction must be shut down when it is safe to do so;</w:t>
      </w:r>
    </w:p>
    <w:p w:rsidR="007744C3" w:rsidRPr="007744C3" w:rsidRDefault="007744C3" w:rsidP="007744C3">
      <w:pPr>
        <w:pStyle w:val="ListParagraph"/>
        <w:numPr>
          <w:ilvl w:val="0"/>
          <w:numId w:val="2"/>
        </w:numPr>
        <w:jc w:val="both"/>
        <w:rPr>
          <w:rFonts w:ascii="Arial" w:hAnsi="Arial" w:cs="Arial"/>
        </w:rPr>
      </w:pPr>
      <w:r w:rsidRPr="007744C3">
        <w:rPr>
          <w:rFonts w:ascii="Arial" w:hAnsi="Arial" w:cs="Arial"/>
        </w:rPr>
        <w:t>construction for existing (i.e. currently underway) projects of an essential business; or</w:t>
      </w:r>
    </w:p>
    <w:p w:rsidR="007744C3" w:rsidRPr="007744C3" w:rsidRDefault="007744C3" w:rsidP="007744C3">
      <w:pPr>
        <w:pStyle w:val="ListParagraph"/>
        <w:numPr>
          <w:ilvl w:val="0"/>
          <w:numId w:val="2"/>
        </w:numPr>
        <w:jc w:val="both"/>
        <w:rPr>
          <w:rFonts w:ascii="Arial" w:hAnsi="Arial" w:cs="Arial"/>
        </w:rPr>
      </w:pPr>
      <w:r w:rsidRPr="007744C3">
        <w:rPr>
          <w:rFonts w:ascii="Arial" w:hAnsi="Arial" w:cs="Arial"/>
        </w:rPr>
        <w:t>construction work that is being completed by a single worker who is the sole employee/worker on the job site.</w:t>
      </w:r>
    </w:p>
    <w:p w:rsidR="007744C3" w:rsidRPr="007744C3" w:rsidRDefault="007744C3" w:rsidP="007744C3">
      <w:pPr>
        <w:jc w:val="both"/>
        <w:rPr>
          <w:rFonts w:ascii="Arial" w:hAnsi="Arial" w:cs="Arial"/>
        </w:rPr>
      </w:pPr>
    </w:p>
    <w:p w:rsidR="001A76F4" w:rsidRDefault="00DB6264" w:rsidP="00AF44D8">
      <w:pPr>
        <w:jc w:val="both"/>
        <w:rPr>
          <w:rFonts w:ascii="Arial" w:hAnsi="Arial" w:cs="Arial"/>
        </w:rPr>
      </w:pPr>
      <w:r>
        <w:rPr>
          <w:rFonts w:ascii="Arial" w:hAnsi="Arial" w:cs="Arial"/>
        </w:rPr>
        <w:t>The order stated, “</w:t>
      </w:r>
      <w:r w:rsidRPr="00DB6264">
        <w:rPr>
          <w:rFonts w:ascii="Arial" w:hAnsi="Arial" w:cs="Arial"/>
        </w:rPr>
        <w:t>All continuing construction projects shall utilize best practices to avoid transmission of COVID-19.</w:t>
      </w:r>
      <w:r>
        <w:rPr>
          <w:rFonts w:ascii="Arial" w:hAnsi="Arial" w:cs="Arial"/>
        </w:rPr>
        <w:t>”</w:t>
      </w:r>
      <w:r w:rsidR="0016165A">
        <w:rPr>
          <w:rStyle w:val="FootnoteReference"/>
          <w:rFonts w:ascii="Arial" w:hAnsi="Arial" w:cs="Arial"/>
        </w:rPr>
        <w:footnoteReference w:id="9"/>
      </w:r>
    </w:p>
    <w:p w:rsidR="00731E50" w:rsidRDefault="00731E50" w:rsidP="00AF44D8">
      <w:pPr>
        <w:jc w:val="both"/>
        <w:rPr>
          <w:rFonts w:ascii="Arial" w:hAnsi="Arial" w:cs="Arial"/>
        </w:rPr>
      </w:pPr>
    </w:p>
    <w:p w:rsidR="00196170" w:rsidRDefault="000C54FB" w:rsidP="00AF44D8">
      <w:pPr>
        <w:jc w:val="both"/>
        <w:rPr>
          <w:rFonts w:ascii="Arial" w:hAnsi="Arial" w:cs="Arial"/>
        </w:rPr>
      </w:pPr>
      <w:r>
        <w:rPr>
          <w:rFonts w:ascii="Arial" w:hAnsi="Arial" w:cs="Arial"/>
        </w:rPr>
        <w:t>Owners and Contractors must remain vigilant in preemptively addressing the pitfalls that are at the forefront of society</w:t>
      </w:r>
      <w:r w:rsidR="00037B42">
        <w:rPr>
          <w:rFonts w:ascii="Arial" w:hAnsi="Arial" w:cs="Arial"/>
        </w:rPr>
        <w:t xml:space="preserve">. </w:t>
      </w:r>
      <w:r w:rsidR="00080154">
        <w:rPr>
          <w:rFonts w:ascii="Arial" w:hAnsi="Arial" w:cs="Arial"/>
        </w:rPr>
        <w:t xml:space="preserve"> </w:t>
      </w:r>
      <w:r w:rsidR="00037B42">
        <w:rPr>
          <w:rFonts w:ascii="Arial" w:hAnsi="Arial" w:cs="Arial"/>
        </w:rPr>
        <w:t xml:space="preserve">However, the </w:t>
      </w:r>
      <w:r w:rsidR="00F327E3">
        <w:rPr>
          <w:rFonts w:ascii="Arial" w:hAnsi="Arial" w:cs="Arial"/>
        </w:rPr>
        <w:t>concept</w:t>
      </w:r>
      <w:r w:rsidR="00037B42">
        <w:rPr>
          <w:rFonts w:ascii="Arial" w:hAnsi="Arial" w:cs="Arial"/>
        </w:rPr>
        <w:t xml:space="preserve"> of “best practices” is a constantly changing standard that has placed a significant onus on employers and owners.</w:t>
      </w:r>
      <w:r w:rsidR="00F327E3">
        <w:rPr>
          <w:rFonts w:ascii="Arial" w:hAnsi="Arial" w:cs="Arial"/>
        </w:rPr>
        <w:t xml:space="preserve">  As each day brings new </w:t>
      </w:r>
      <w:r w:rsidR="00B17D7D">
        <w:rPr>
          <w:rFonts w:ascii="Arial" w:hAnsi="Arial" w:cs="Arial"/>
        </w:rPr>
        <w:t>discoveries</w:t>
      </w:r>
      <w:r w:rsidR="00F327E3">
        <w:rPr>
          <w:rFonts w:ascii="Arial" w:hAnsi="Arial" w:cs="Arial"/>
        </w:rPr>
        <w:t xml:space="preserve"> </w:t>
      </w:r>
      <w:r w:rsidR="00B17D7D">
        <w:rPr>
          <w:rFonts w:ascii="Arial" w:hAnsi="Arial" w:cs="Arial"/>
        </w:rPr>
        <w:t>concerning</w:t>
      </w:r>
      <w:r w:rsidR="00F327E3">
        <w:rPr>
          <w:rFonts w:ascii="Arial" w:hAnsi="Arial" w:cs="Arial"/>
        </w:rPr>
        <w:t xml:space="preserve"> the COVID pandemic so changes the industry guidelines concerning workplace safety.</w:t>
      </w:r>
      <w:r w:rsidR="00037B42">
        <w:rPr>
          <w:rFonts w:ascii="Arial" w:hAnsi="Arial" w:cs="Arial"/>
        </w:rPr>
        <w:t xml:space="preserve"> </w:t>
      </w:r>
    </w:p>
    <w:p w:rsidR="00E91A63" w:rsidRDefault="00E91A63" w:rsidP="00AF44D8">
      <w:pPr>
        <w:jc w:val="both"/>
        <w:rPr>
          <w:rFonts w:ascii="Arial" w:hAnsi="Arial" w:cs="Arial"/>
        </w:rPr>
      </w:pPr>
    </w:p>
    <w:p w:rsidR="005F2DFA" w:rsidRDefault="00496671" w:rsidP="00AF44D8">
      <w:pPr>
        <w:jc w:val="both"/>
        <w:rPr>
          <w:rFonts w:ascii="Arial" w:hAnsi="Arial" w:cs="Arial"/>
        </w:rPr>
      </w:pPr>
      <w:r>
        <w:rPr>
          <w:rFonts w:ascii="Arial" w:hAnsi="Arial" w:cs="Arial"/>
        </w:rPr>
        <w:t xml:space="preserve">It is doubtful that the contracting of the virus could be based on a condition created by an owner or contractor particularly prior to </w:t>
      </w:r>
      <w:r w:rsidR="00B301A5">
        <w:rPr>
          <w:rFonts w:ascii="Arial" w:hAnsi="Arial" w:cs="Arial"/>
        </w:rPr>
        <w:t>the lock down.</w:t>
      </w:r>
      <w:r w:rsidR="00EC7BFE">
        <w:rPr>
          <w:rFonts w:ascii="Arial" w:hAnsi="Arial" w:cs="Arial"/>
        </w:rPr>
        <w:t xml:space="preserve">  </w:t>
      </w:r>
      <w:r w:rsidR="00F327E3">
        <w:rPr>
          <w:rFonts w:ascii="Arial" w:hAnsi="Arial" w:cs="Arial"/>
        </w:rPr>
        <w:t xml:space="preserve">The most comparable case law revolves around </w:t>
      </w:r>
      <w:r w:rsidR="00B17D7D">
        <w:rPr>
          <w:rFonts w:ascii="Arial" w:hAnsi="Arial" w:cs="Arial"/>
        </w:rPr>
        <w:t>contagions</w:t>
      </w:r>
      <w:r w:rsidR="00F327E3">
        <w:rPr>
          <w:rFonts w:ascii="Arial" w:hAnsi="Arial" w:cs="Arial"/>
        </w:rPr>
        <w:t xml:space="preserve"> that resulted from the 9/11 crashes.   </w:t>
      </w:r>
      <w:r w:rsidR="00D5203F">
        <w:rPr>
          <w:rFonts w:ascii="Arial" w:hAnsi="Arial" w:cs="Arial"/>
        </w:rPr>
        <w:t>In Kagan</w:t>
      </w:r>
      <w:r w:rsidR="00EC7BFE" w:rsidRPr="00731E50">
        <w:rPr>
          <w:rFonts w:ascii="Arial" w:hAnsi="Arial" w:cs="Arial"/>
          <w:i/>
        </w:rPr>
        <w:t xml:space="preserve"> v. BFP One Liberty Plaza</w:t>
      </w:r>
      <w:r w:rsidR="00EC7BFE" w:rsidRPr="00EC7BFE">
        <w:rPr>
          <w:rFonts w:ascii="Arial" w:hAnsi="Arial" w:cs="Arial"/>
        </w:rPr>
        <w:t xml:space="preserve">, </w:t>
      </w:r>
      <w:r w:rsidR="00F327E3">
        <w:rPr>
          <w:rFonts w:ascii="Arial" w:hAnsi="Arial" w:cs="Arial"/>
        </w:rPr>
        <w:t>p</w:t>
      </w:r>
      <w:r>
        <w:rPr>
          <w:rFonts w:ascii="Arial" w:hAnsi="Arial" w:cs="Arial"/>
        </w:rPr>
        <w:t>laintiff was involved in the cleaning of an office building after 9/11</w:t>
      </w:r>
      <w:r w:rsidR="00080154">
        <w:rPr>
          <w:rFonts w:ascii="Arial" w:hAnsi="Arial" w:cs="Arial"/>
        </w:rPr>
        <w:t xml:space="preserve"> and was adversely affected by </w:t>
      </w:r>
      <w:r w:rsidR="00B17D7D">
        <w:rPr>
          <w:rFonts w:ascii="Arial" w:hAnsi="Arial" w:cs="Arial"/>
        </w:rPr>
        <w:t>airborne</w:t>
      </w:r>
      <w:r w:rsidR="00080154">
        <w:rPr>
          <w:rFonts w:ascii="Arial" w:hAnsi="Arial" w:cs="Arial"/>
        </w:rPr>
        <w:t xml:space="preserve"> toxins.</w:t>
      </w:r>
      <w:r w:rsidR="005F2DFA">
        <w:rPr>
          <w:rStyle w:val="FootnoteReference"/>
          <w:rFonts w:ascii="Arial" w:hAnsi="Arial" w:cs="Arial"/>
        </w:rPr>
        <w:footnoteReference w:id="10"/>
      </w:r>
      <w:r w:rsidR="00080154">
        <w:rPr>
          <w:rFonts w:ascii="Arial" w:hAnsi="Arial" w:cs="Arial"/>
        </w:rPr>
        <w:t xml:space="preserve">  </w:t>
      </w:r>
      <w:r>
        <w:rPr>
          <w:rFonts w:ascii="Arial" w:hAnsi="Arial" w:cs="Arial"/>
        </w:rPr>
        <w:t xml:space="preserve">The Court dismissed the Labor Law </w:t>
      </w:r>
      <w:r w:rsidR="000B6340">
        <w:rPr>
          <w:rFonts w:ascii="Arial" w:hAnsi="Arial" w:cs="Arial"/>
        </w:rPr>
        <w:t xml:space="preserve">200 claim stating, </w:t>
      </w:r>
      <w:r w:rsidR="00EC7BFE">
        <w:rPr>
          <w:rFonts w:ascii="Arial" w:hAnsi="Arial" w:cs="Arial"/>
        </w:rPr>
        <w:t>“</w:t>
      </w:r>
      <w:r w:rsidR="00080154">
        <w:rPr>
          <w:rFonts w:ascii="Arial" w:hAnsi="Arial" w:cs="Arial"/>
        </w:rPr>
        <w:t>[t]</w:t>
      </w:r>
      <w:r w:rsidR="00B301A5" w:rsidRPr="00B301A5">
        <w:rPr>
          <w:rFonts w:ascii="Arial" w:hAnsi="Arial" w:cs="Arial"/>
        </w:rPr>
        <w:t>he dust and debris that accumulated in the office building in which plaintiff performed fine cleaning resulted not from any act or omission of defendants but from the terrorist attacks that caused the Twin Towers of the World Trade Center to collapse</w:t>
      </w:r>
      <w:r w:rsidR="00EC7BFE">
        <w:rPr>
          <w:rFonts w:ascii="Arial" w:hAnsi="Arial" w:cs="Arial"/>
        </w:rPr>
        <w:t>.”</w:t>
      </w:r>
      <w:r w:rsidR="005F2DFA">
        <w:rPr>
          <w:rStyle w:val="FootnoteReference"/>
          <w:rFonts w:ascii="Arial" w:hAnsi="Arial" w:cs="Arial"/>
        </w:rPr>
        <w:footnoteReference w:id="11"/>
      </w:r>
      <w:r w:rsidR="00080154">
        <w:rPr>
          <w:rFonts w:ascii="Arial" w:hAnsi="Arial" w:cs="Arial"/>
        </w:rPr>
        <w:t xml:space="preserve">  As such, there was no basis to allow for a finding of constructive </w:t>
      </w:r>
      <w:r w:rsidR="005F2DFA">
        <w:rPr>
          <w:rFonts w:ascii="Arial" w:hAnsi="Arial" w:cs="Arial"/>
        </w:rPr>
        <w:t>or actual notice.</w:t>
      </w:r>
      <w:r w:rsidR="005F2DFA">
        <w:rPr>
          <w:rStyle w:val="FootnoteReference"/>
          <w:rFonts w:ascii="Arial" w:hAnsi="Arial" w:cs="Arial"/>
        </w:rPr>
        <w:footnoteReference w:id="12"/>
      </w:r>
      <w:r w:rsidR="00EC7BFE">
        <w:rPr>
          <w:rFonts w:ascii="Arial" w:hAnsi="Arial" w:cs="Arial"/>
        </w:rPr>
        <w:t xml:space="preserve">  </w:t>
      </w:r>
      <w:r w:rsidR="005F2DFA">
        <w:rPr>
          <w:rFonts w:ascii="Arial" w:hAnsi="Arial" w:cs="Arial"/>
        </w:rPr>
        <w:t xml:space="preserve"> </w:t>
      </w:r>
      <w:r w:rsidR="001C4642">
        <w:rPr>
          <w:rFonts w:ascii="Arial" w:hAnsi="Arial" w:cs="Arial"/>
        </w:rPr>
        <w:t>Prior rulings</w:t>
      </w:r>
      <w:r w:rsidR="001D485A">
        <w:rPr>
          <w:rFonts w:ascii="Arial" w:hAnsi="Arial" w:cs="Arial"/>
        </w:rPr>
        <w:t>, albeit scarce,</w:t>
      </w:r>
      <w:r w:rsidR="001C4642">
        <w:rPr>
          <w:rFonts w:ascii="Arial" w:hAnsi="Arial" w:cs="Arial"/>
        </w:rPr>
        <w:t xml:space="preserve"> concerning </w:t>
      </w:r>
      <w:r w:rsidR="001C4642" w:rsidRPr="001C4642">
        <w:rPr>
          <w:rFonts w:ascii="Arial" w:hAnsi="Arial" w:cs="Arial"/>
        </w:rPr>
        <w:t>employees infected with HIV or Swine Flu</w:t>
      </w:r>
      <w:r w:rsidR="001C4642">
        <w:rPr>
          <w:rFonts w:ascii="Arial" w:hAnsi="Arial" w:cs="Arial"/>
        </w:rPr>
        <w:t xml:space="preserve"> will likely be relied upon.</w:t>
      </w:r>
      <w:r w:rsidR="001D485A">
        <w:rPr>
          <w:rStyle w:val="FootnoteReference"/>
          <w:rFonts w:ascii="Arial" w:hAnsi="Arial" w:cs="Arial"/>
        </w:rPr>
        <w:footnoteReference w:id="13"/>
      </w:r>
      <w:r w:rsidR="001C4642">
        <w:rPr>
          <w:rFonts w:ascii="Arial" w:hAnsi="Arial" w:cs="Arial"/>
        </w:rPr>
        <w:t xml:space="preserve">  </w:t>
      </w:r>
      <w:r w:rsidR="00A40E9D">
        <w:rPr>
          <w:rFonts w:ascii="Arial" w:hAnsi="Arial" w:cs="Arial"/>
        </w:rPr>
        <w:t>Here, unless there is a showing that the owner or contractor was aware of a COVID positive worker on site</w:t>
      </w:r>
      <w:r w:rsidR="00037B42">
        <w:rPr>
          <w:rFonts w:ascii="Arial" w:hAnsi="Arial" w:cs="Arial"/>
        </w:rPr>
        <w:t xml:space="preserve"> allows for the </w:t>
      </w:r>
      <w:r w:rsidR="00B17D7D">
        <w:rPr>
          <w:rFonts w:ascii="Arial" w:hAnsi="Arial" w:cs="Arial"/>
        </w:rPr>
        <w:t>application</w:t>
      </w:r>
      <w:r w:rsidR="00037B42">
        <w:rPr>
          <w:rFonts w:ascii="Arial" w:hAnsi="Arial" w:cs="Arial"/>
        </w:rPr>
        <w:t xml:space="preserve"> of multiple </w:t>
      </w:r>
      <w:r w:rsidR="00A40E9D">
        <w:rPr>
          <w:rFonts w:ascii="Arial" w:hAnsi="Arial" w:cs="Arial"/>
        </w:rPr>
        <w:t xml:space="preserve">defenses to </w:t>
      </w:r>
      <w:r w:rsidR="00037B42">
        <w:rPr>
          <w:rFonts w:ascii="Arial" w:hAnsi="Arial" w:cs="Arial"/>
        </w:rPr>
        <w:t>Labor Law liability claims.</w:t>
      </w:r>
      <w:r w:rsidR="00F327E3">
        <w:rPr>
          <w:rFonts w:ascii="Arial" w:hAnsi="Arial" w:cs="Arial"/>
        </w:rPr>
        <w:t xml:space="preserve">  Again as the science changes so will the standard of liability as present theories suggest COVID is not transmitted from secondary contact of surfaces.  </w:t>
      </w:r>
    </w:p>
    <w:p w:rsidR="00A40E9D" w:rsidRDefault="00A40E9D" w:rsidP="00AF44D8">
      <w:pPr>
        <w:jc w:val="both"/>
        <w:rPr>
          <w:rFonts w:ascii="Arial" w:hAnsi="Arial" w:cs="Arial"/>
        </w:rPr>
      </w:pPr>
    </w:p>
    <w:p w:rsidR="00B301A5" w:rsidRDefault="005F2DFA" w:rsidP="00AF44D8">
      <w:pPr>
        <w:jc w:val="both"/>
        <w:rPr>
          <w:rFonts w:ascii="Arial" w:hAnsi="Arial" w:cs="Arial"/>
        </w:rPr>
      </w:pPr>
      <w:r>
        <w:rPr>
          <w:rFonts w:ascii="Arial" w:hAnsi="Arial" w:cs="Arial"/>
        </w:rPr>
        <w:t>However, plaintiffs will still have to establish, with medical or scientific support, a causative link between a diagnosis of COVID 19 and the work site.  In that regard HIPAA guidelines and protections will further muddy the waters insofar as current guidelines and protections require the reporting of a COVID diagnosis.</w:t>
      </w:r>
      <w:r w:rsidR="00037B42">
        <w:rPr>
          <w:rFonts w:ascii="Arial" w:hAnsi="Arial" w:cs="Arial"/>
        </w:rPr>
        <w:t xml:space="preserve">  </w:t>
      </w:r>
      <w:r w:rsidR="00A40E9D">
        <w:rPr>
          <w:rFonts w:ascii="Arial" w:hAnsi="Arial" w:cs="Arial"/>
        </w:rPr>
        <w:t xml:space="preserve">While current standards require self reporting, owners and contractors will be well served in being </w:t>
      </w:r>
      <w:r w:rsidR="00836840">
        <w:rPr>
          <w:rFonts w:ascii="Arial" w:hAnsi="Arial" w:cs="Arial"/>
        </w:rPr>
        <w:t>vigilant</w:t>
      </w:r>
      <w:r w:rsidR="00A40E9D">
        <w:rPr>
          <w:rFonts w:ascii="Arial" w:hAnsi="Arial" w:cs="Arial"/>
        </w:rPr>
        <w:t xml:space="preserve"> in the condition of their workers. </w:t>
      </w:r>
      <w:r w:rsidR="00037B42">
        <w:rPr>
          <w:rFonts w:ascii="Arial" w:hAnsi="Arial" w:cs="Arial"/>
        </w:rPr>
        <w:t xml:space="preserve"> Yet, the issue remains as to what would constitute notice of COVID 19 – a cough, elevated </w:t>
      </w:r>
      <w:r w:rsidR="00B17D7D">
        <w:rPr>
          <w:rFonts w:ascii="Arial" w:hAnsi="Arial" w:cs="Arial"/>
        </w:rPr>
        <w:t>temperature</w:t>
      </w:r>
      <w:r w:rsidR="00037B42">
        <w:rPr>
          <w:rFonts w:ascii="Arial" w:hAnsi="Arial" w:cs="Arial"/>
        </w:rPr>
        <w:t>, contact with a person who tested positive for the virus</w:t>
      </w:r>
      <w:r w:rsidR="00A36C62">
        <w:rPr>
          <w:rFonts w:ascii="Arial" w:hAnsi="Arial" w:cs="Arial"/>
        </w:rPr>
        <w:t>.  Plaintiffs</w:t>
      </w:r>
      <w:r w:rsidR="00836840">
        <w:rPr>
          <w:rFonts w:ascii="Arial" w:hAnsi="Arial" w:cs="Arial"/>
        </w:rPr>
        <w:t xml:space="preserve"> in litigating claims</w:t>
      </w:r>
      <w:r w:rsidR="00A36C62">
        <w:rPr>
          <w:rFonts w:ascii="Arial" w:hAnsi="Arial" w:cs="Arial"/>
        </w:rPr>
        <w:t xml:space="preserve">, as well as owners and </w:t>
      </w:r>
      <w:r w:rsidR="00B17D7D">
        <w:rPr>
          <w:rFonts w:ascii="Arial" w:hAnsi="Arial" w:cs="Arial"/>
        </w:rPr>
        <w:t>contractors</w:t>
      </w:r>
      <w:r w:rsidR="00836840">
        <w:rPr>
          <w:rFonts w:ascii="Arial" w:hAnsi="Arial" w:cs="Arial"/>
        </w:rPr>
        <w:t xml:space="preserve"> in defending same</w:t>
      </w:r>
      <w:r w:rsidR="00A36C62">
        <w:rPr>
          <w:rFonts w:ascii="Arial" w:hAnsi="Arial" w:cs="Arial"/>
        </w:rPr>
        <w:t>, will have to rely</w:t>
      </w:r>
      <w:r w:rsidR="00836840">
        <w:rPr>
          <w:rFonts w:ascii="Arial" w:hAnsi="Arial" w:cs="Arial"/>
        </w:rPr>
        <w:t xml:space="preserve"> on the veracity of the workers.   </w:t>
      </w:r>
    </w:p>
    <w:p w:rsidR="001D485A" w:rsidRDefault="001D485A" w:rsidP="00AF44D8">
      <w:pPr>
        <w:jc w:val="both"/>
        <w:rPr>
          <w:rFonts w:ascii="Arial" w:hAnsi="Arial" w:cs="Arial"/>
        </w:rPr>
      </w:pPr>
    </w:p>
    <w:p w:rsidR="00196170" w:rsidRDefault="00A40E9D" w:rsidP="00AF44D8">
      <w:pPr>
        <w:jc w:val="both"/>
        <w:rPr>
          <w:rFonts w:ascii="Arial" w:hAnsi="Arial" w:cs="Arial"/>
        </w:rPr>
      </w:pPr>
      <w:r>
        <w:rPr>
          <w:rFonts w:ascii="Arial" w:hAnsi="Arial" w:cs="Arial"/>
        </w:rPr>
        <w:t>L</w:t>
      </w:r>
      <w:r w:rsidR="000B6340">
        <w:rPr>
          <w:rFonts w:ascii="Arial" w:hAnsi="Arial" w:cs="Arial"/>
        </w:rPr>
        <w:t xml:space="preserve">iability could be assessed </w:t>
      </w:r>
      <w:r w:rsidR="00BE2301">
        <w:rPr>
          <w:rFonts w:ascii="Arial" w:hAnsi="Arial" w:cs="Arial"/>
        </w:rPr>
        <w:t>based on means and methods</w:t>
      </w:r>
      <w:r>
        <w:rPr>
          <w:rFonts w:ascii="Arial" w:hAnsi="Arial" w:cs="Arial"/>
        </w:rPr>
        <w:t xml:space="preserve"> of the work performed</w:t>
      </w:r>
      <w:r w:rsidR="00BE2301">
        <w:rPr>
          <w:rFonts w:ascii="Arial" w:hAnsi="Arial" w:cs="Arial"/>
        </w:rPr>
        <w:t xml:space="preserve"> </w:t>
      </w:r>
      <w:r w:rsidR="00DB6264" w:rsidRPr="00DB6264">
        <w:rPr>
          <w:rFonts w:ascii="Arial" w:hAnsi="Arial" w:cs="Arial"/>
        </w:rPr>
        <w:t>where no precautions were taken</w:t>
      </w:r>
      <w:r>
        <w:rPr>
          <w:rFonts w:ascii="Arial" w:hAnsi="Arial" w:cs="Arial"/>
        </w:rPr>
        <w:t>,</w:t>
      </w:r>
      <w:r w:rsidR="00DB6264" w:rsidRPr="00DB6264">
        <w:rPr>
          <w:rFonts w:ascii="Arial" w:hAnsi="Arial" w:cs="Arial"/>
        </w:rPr>
        <w:t xml:space="preserve"> such as wearing </w:t>
      </w:r>
      <w:r>
        <w:rPr>
          <w:rFonts w:ascii="Arial" w:hAnsi="Arial" w:cs="Arial"/>
        </w:rPr>
        <w:t>personal protect</w:t>
      </w:r>
      <w:r w:rsidR="00DB6264" w:rsidRPr="00DB6264">
        <w:rPr>
          <w:rFonts w:ascii="Arial" w:hAnsi="Arial" w:cs="Arial"/>
        </w:rPr>
        <w:t xml:space="preserve">ive </w:t>
      </w:r>
      <w:r w:rsidR="00836840">
        <w:rPr>
          <w:rFonts w:ascii="Arial" w:hAnsi="Arial" w:cs="Arial"/>
        </w:rPr>
        <w:t>equipment</w:t>
      </w:r>
      <w:r>
        <w:rPr>
          <w:rFonts w:ascii="Arial" w:hAnsi="Arial" w:cs="Arial"/>
        </w:rPr>
        <w:t xml:space="preserve">, </w:t>
      </w:r>
      <w:r w:rsidR="000B6340">
        <w:rPr>
          <w:rFonts w:ascii="Arial" w:hAnsi="Arial" w:cs="Arial"/>
        </w:rPr>
        <w:t xml:space="preserve">after the </w:t>
      </w:r>
      <w:r w:rsidR="00DB6264">
        <w:rPr>
          <w:rFonts w:ascii="Arial" w:hAnsi="Arial" w:cs="Arial"/>
        </w:rPr>
        <w:t xml:space="preserve">extent of the virus was known and social distancing protocols were </w:t>
      </w:r>
      <w:r>
        <w:rPr>
          <w:rFonts w:ascii="Arial" w:hAnsi="Arial" w:cs="Arial"/>
        </w:rPr>
        <w:t>implemented</w:t>
      </w:r>
      <w:r w:rsidR="006325C9">
        <w:rPr>
          <w:rFonts w:ascii="Arial" w:hAnsi="Arial" w:cs="Arial"/>
        </w:rPr>
        <w:t>.  Each case would be fact specific</w:t>
      </w:r>
      <w:r w:rsidR="00DB6264">
        <w:rPr>
          <w:rFonts w:ascii="Arial" w:hAnsi="Arial" w:cs="Arial"/>
        </w:rPr>
        <w:t xml:space="preserve"> as to what </w:t>
      </w:r>
      <w:r w:rsidR="00196170">
        <w:rPr>
          <w:rFonts w:ascii="Arial" w:hAnsi="Arial" w:cs="Arial"/>
        </w:rPr>
        <w:t>precautions and protocol were in place</w:t>
      </w:r>
      <w:r w:rsidR="00DB66E6">
        <w:rPr>
          <w:rFonts w:ascii="Arial" w:hAnsi="Arial" w:cs="Arial"/>
        </w:rPr>
        <w:t xml:space="preserve"> at point on the COVID timeline</w:t>
      </w:r>
      <w:r w:rsidR="00EA54C3">
        <w:rPr>
          <w:rFonts w:ascii="Arial" w:hAnsi="Arial" w:cs="Arial"/>
        </w:rPr>
        <w:t>.</w:t>
      </w:r>
    </w:p>
    <w:p w:rsidR="00196170" w:rsidRDefault="00196170" w:rsidP="00AF44D8">
      <w:pPr>
        <w:jc w:val="both"/>
        <w:rPr>
          <w:rFonts w:ascii="Arial" w:hAnsi="Arial" w:cs="Arial"/>
        </w:rPr>
      </w:pPr>
    </w:p>
    <w:p w:rsidR="00E953BB" w:rsidRDefault="006325C9" w:rsidP="00AF44D8">
      <w:pPr>
        <w:jc w:val="both"/>
        <w:rPr>
          <w:rFonts w:ascii="Arial" w:hAnsi="Arial" w:cs="Arial"/>
        </w:rPr>
      </w:pPr>
      <w:r>
        <w:rPr>
          <w:rFonts w:ascii="Arial" w:hAnsi="Arial" w:cs="Arial"/>
        </w:rPr>
        <w:t xml:space="preserve">Liability should not attach if all precautions were taken.  </w:t>
      </w:r>
      <w:r w:rsidRPr="006325C9">
        <w:rPr>
          <w:rFonts w:ascii="Arial" w:hAnsi="Arial" w:cs="Arial"/>
        </w:rPr>
        <w:t xml:space="preserve"> </w:t>
      </w:r>
      <w:r w:rsidR="001D485A">
        <w:rPr>
          <w:rFonts w:ascii="Arial" w:hAnsi="Arial" w:cs="Arial"/>
        </w:rPr>
        <w:t xml:space="preserve">For example </w:t>
      </w:r>
      <w:r w:rsidRPr="006325C9">
        <w:rPr>
          <w:rFonts w:ascii="Arial" w:hAnsi="Arial" w:cs="Arial"/>
        </w:rPr>
        <w:t xml:space="preserve">In </w:t>
      </w:r>
      <w:r w:rsidRPr="00731E50">
        <w:rPr>
          <w:rFonts w:ascii="Arial" w:hAnsi="Arial" w:cs="Arial"/>
          <w:i/>
        </w:rPr>
        <w:t>DeLeon v. State of New York</w:t>
      </w:r>
      <w:r w:rsidR="001D485A">
        <w:rPr>
          <w:rFonts w:ascii="Arial" w:hAnsi="Arial" w:cs="Arial"/>
        </w:rPr>
        <w:t>,</w:t>
      </w:r>
      <w:r w:rsidR="001D485A">
        <w:rPr>
          <w:rStyle w:val="FootnoteReference"/>
          <w:rFonts w:ascii="Arial" w:hAnsi="Arial" w:cs="Arial"/>
        </w:rPr>
        <w:footnoteReference w:id="14"/>
      </w:r>
      <w:r w:rsidR="001D485A">
        <w:rPr>
          <w:rFonts w:ascii="Arial" w:hAnsi="Arial" w:cs="Arial"/>
        </w:rPr>
        <w:t xml:space="preserve"> </w:t>
      </w:r>
      <w:r w:rsidRPr="006325C9">
        <w:rPr>
          <w:rFonts w:ascii="Arial" w:hAnsi="Arial" w:cs="Arial"/>
        </w:rPr>
        <w:t>plaintiff</w:t>
      </w:r>
      <w:r w:rsidR="001D485A">
        <w:rPr>
          <w:rFonts w:ascii="Arial" w:hAnsi="Arial" w:cs="Arial"/>
        </w:rPr>
        <w:t>,</w:t>
      </w:r>
      <w:r w:rsidRPr="006325C9">
        <w:rPr>
          <w:rFonts w:ascii="Arial" w:hAnsi="Arial" w:cs="Arial"/>
        </w:rPr>
        <w:t xml:space="preserve"> a construction worker</w:t>
      </w:r>
      <w:r w:rsidR="001D485A">
        <w:rPr>
          <w:rFonts w:ascii="Arial" w:hAnsi="Arial" w:cs="Arial"/>
        </w:rPr>
        <w:t xml:space="preserve">, </w:t>
      </w:r>
      <w:r w:rsidRPr="006325C9">
        <w:rPr>
          <w:rFonts w:ascii="Arial" w:hAnsi="Arial" w:cs="Arial"/>
        </w:rPr>
        <w:t xml:space="preserve">was struck by a drunk driver while performing work on </w:t>
      </w:r>
      <w:r w:rsidR="00836840">
        <w:rPr>
          <w:rFonts w:ascii="Arial" w:hAnsi="Arial" w:cs="Arial"/>
        </w:rPr>
        <w:t>an express</w:t>
      </w:r>
      <w:r w:rsidR="001D485A">
        <w:rPr>
          <w:rFonts w:ascii="Arial" w:hAnsi="Arial" w:cs="Arial"/>
        </w:rPr>
        <w:t xml:space="preserve">way.  </w:t>
      </w:r>
      <w:r w:rsidR="00836840">
        <w:rPr>
          <w:rFonts w:ascii="Arial" w:hAnsi="Arial" w:cs="Arial"/>
        </w:rPr>
        <w:t>The Court found, “[w]</w:t>
      </w:r>
      <w:r w:rsidRPr="006325C9">
        <w:rPr>
          <w:rFonts w:ascii="Arial" w:hAnsi="Arial" w:cs="Arial"/>
        </w:rPr>
        <w:t xml:space="preserve">ith regard to the claims sounding in common-law negligence and the violation </w:t>
      </w:r>
      <w:r w:rsidR="00415F5E" w:rsidRPr="006325C9">
        <w:rPr>
          <w:rFonts w:ascii="Arial" w:hAnsi="Arial" w:cs="Arial"/>
        </w:rPr>
        <w:t>of Labor</w:t>
      </w:r>
      <w:r w:rsidRPr="006325C9">
        <w:rPr>
          <w:rFonts w:ascii="Arial" w:hAnsi="Arial" w:cs="Arial"/>
        </w:rPr>
        <w:t xml:space="preserve"> Law § 200, the defendant satisfied its initial burden on the motion by submitting sufficient evidence demonstrating that the safeguards provided for the construction zone completely conformed to relevant industry standards and practices, and that the defendant was not otherwise negligent in failing to adequately safeguard the construction zone.” </w:t>
      </w:r>
      <w:r w:rsidR="001D485A">
        <w:rPr>
          <w:rFonts w:ascii="Arial" w:hAnsi="Arial" w:cs="Arial"/>
        </w:rPr>
        <w:t xml:space="preserve"> As applied to COVID 19 issues, the issue becomes whether the CDC regulations will be deemed</w:t>
      </w:r>
      <w:r w:rsidR="00836840">
        <w:rPr>
          <w:rFonts w:ascii="Arial" w:hAnsi="Arial" w:cs="Arial"/>
        </w:rPr>
        <w:t xml:space="preserve"> </w:t>
      </w:r>
      <w:r w:rsidR="001D485A">
        <w:rPr>
          <w:rFonts w:ascii="Arial" w:hAnsi="Arial" w:cs="Arial"/>
        </w:rPr>
        <w:t>the new industry standard.</w:t>
      </w:r>
      <w:r w:rsidR="00836840">
        <w:rPr>
          <w:rFonts w:ascii="Arial" w:hAnsi="Arial" w:cs="Arial"/>
        </w:rPr>
        <w:t xml:space="preserve">  </w:t>
      </w:r>
      <w:r w:rsidR="00DB66E6">
        <w:rPr>
          <w:rFonts w:ascii="Arial" w:hAnsi="Arial" w:cs="Arial"/>
        </w:rPr>
        <w:t>The ext</w:t>
      </w:r>
      <w:r w:rsidR="00BB096A">
        <w:rPr>
          <w:rFonts w:ascii="Arial" w:hAnsi="Arial" w:cs="Arial"/>
        </w:rPr>
        <w:t>e</w:t>
      </w:r>
      <w:r w:rsidR="00DB66E6">
        <w:rPr>
          <w:rFonts w:ascii="Arial" w:hAnsi="Arial" w:cs="Arial"/>
        </w:rPr>
        <w:t xml:space="preserve">nt of </w:t>
      </w:r>
      <w:r w:rsidR="00BB096A">
        <w:rPr>
          <w:rFonts w:ascii="Arial" w:hAnsi="Arial" w:cs="Arial"/>
        </w:rPr>
        <w:t xml:space="preserve">the </w:t>
      </w:r>
      <w:r w:rsidR="00DB66E6">
        <w:rPr>
          <w:rFonts w:ascii="Arial" w:hAnsi="Arial" w:cs="Arial"/>
        </w:rPr>
        <w:t xml:space="preserve">precautions utilized </w:t>
      </w:r>
      <w:r w:rsidR="00BB096A">
        <w:rPr>
          <w:rFonts w:ascii="Arial" w:hAnsi="Arial" w:cs="Arial"/>
        </w:rPr>
        <w:t xml:space="preserve">on construction sites </w:t>
      </w:r>
      <w:r w:rsidR="00DB66E6">
        <w:rPr>
          <w:rFonts w:ascii="Arial" w:hAnsi="Arial" w:cs="Arial"/>
        </w:rPr>
        <w:t>will be determinative in creating a new industry standard</w:t>
      </w:r>
      <w:r w:rsidR="00BB096A">
        <w:rPr>
          <w:rFonts w:ascii="Arial" w:hAnsi="Arial" w:cs="Arial"/>
        </w:rPr>
        <w:t xml:space="preserve"> of safety protocols</w:t>
      </w:r>
      <w:r w:rsidR="00DB66E6">
        <w:rPr>
          <w:rFonts w:ascii="Arial" w:hAnsi="Arial" w:cs="Arial"/>
        </w:rPr>
        <w:t xml:space="preserve">.  </w:t>
      </w:r>
      <w:r w:rsidR="00BB096A">
        <w:rPr>
          <w:rFonts w:ascii="Arial" w:hAnsi="Arial" w:cs="Arial"/>
        </w:rPr>
        <w:t xml:space="preserve">The questions that must be answered are the procedures and safeguards utilized on active worksites, such as </w:t>
      </w:r>
      <w:r w:rsidR="00DB66E6">
        <w:rPr>
          <w:rFonts w:ascii="Arial" w:hAnsi="Arial" w:cs="Arial"/>
        </w:rPr>
        <w:t>designate</w:t>
      </w:r>
      <w:r w:rsidR="00BB096A">
        <w:rPr>
          <w:rFonts w:ascii="Arial" w:hAnsi="Arial" w:cs="Arial"/>
        </w:rPr>
        <w:t>d</w:t>
      </w:r>
      <w:r w:rsidR="00DB66E6">
        <w:rPr>
          <w:rFonts w:ascii="Arial" w:hAnsi="Arial" w:cs="Arial"/>
        </w:rPr>
        <w:t xml:space="preserve"> </w:t>
      </w:r>
      <w:r w:rsidR="00B17D7D">
        <w:rPr>
          <w:rFonts w:ascii="Arial" w:hAnsi="Arial" w:cs="Arial"/>
        </w:rPr>
        <w:t>temperature</w:t>
      </w:r>
      <w:r w:rsidR="00DB66E6">
        <w:rPr>
          <w:rFonts w:ascii="Arial" w:hAnsi="Arial" w:cs="Arial"/>
        </w:rPr>
        <w:t xml:space="preserve"> testing</w:t>
      </w:r>
      <w:r w:rsidR="00BB096A">
        <w:rPr>
          <w:rFonts w:ascii="Arial" w:hAnsi="Arial" w:cs="Arial"/>
        </w:rPr>
        <w:t xml:space="preserve"> upon arrival</w:t>
      </w:r>
      <w:r w:rsidR="00DB66E6">
        <w:rPr>
          <w:rFonts w:ascii="Arial" w:hAnsi="Arial" w:cs="Arial"/>
        </w:rPr>
        <w:t xml:space="preserve">, </w:t>
      </w:r>
      <w:r w:rsidR="00BB096A">
        <w:rPr>
          <w:rFonts w:ascii="Arial" w:hAnsi="Arial" w:cs="Arial"/>
        </w:rPr>
        <w:t xml:space="preserve">policies regarding sending workers home who display </w:t>
      </w:r>
      <w:r w:rsidR="00D5203F">
        <w:rPr>
          <w:rFonts w:ascii="Arial" w:hAnsi="Arial" w:cs="Arial"/>
        </w:rPr>
        <w:t>symptoms</w:t>
      </w:r>
      <w:r w:rsidR="00BB096A">
        <w:rPr>
          <w:rFonts w:ascii="Arial" w:hAnsi="Arial" w:cs="Arial"/>
        </w:rPr>
        <w:t xml:space="preserve"> such as coughing</w:t>
      </w:r>
      <w:r w:rsidR="00DB66E6">
        <w:rPr>
          <w:rFonts w:ascii="Arial" w:hAnsi="Arial" w:cs="Arial"/>
        </w:rPr>
        <w:t xml:space="preserve"> or even prohibit entry to workers based on potential exposure</w:t>
      </w:r>
      <w:r w:rsidR="00BB096A">
        <w:rPr>
          <w:rFonts w:ascii="Arial" w:hAnsi="Arial" w:cs="Arial"/>
        </w:rPr>
        <w:t xml:space="preserve"> to the virus, on or off the site</w:t>
      </w:r>
      <w:r w:rsidR="00D5203F">
        <w:rPr>
          <w:rFonts w:ascii="Arial" w:hAnsi="Arial" w:cs="Arial"/>
        </w:rPr>
        <w:t>.</w:t>
      </w:r>
      <w:r w:rsidR="00BB096A">
        <w:rPr>
          <w:rFonts w:ascii="Arial" w:hAnsi="Arial" w:cs="Arial"/>
        </w:rPr>
        <w:t xml:space="preserve">  The potential impact of union contracts and collective bargaining agreements further complicate this analysis.</w:t>
      </w:r>
    </w:p>
    <w:p w:rsidR="00E953BB" w:rsidRDefault="00E953BB" w:rsidP="00AF44D8">
      <w:pPr>
        <w:jc w:val="both"/>
        <w:rPr>
          <w:rFonts w:ascii="Arial" w:hAnsi="Arial" w:cs="Arial"/>
        </w:rPr>
      </w:pPr>
    </w:p>
    <w:p w:rsidR="00FD09B6" w:rsidRDefault="001D485A" w:rsidP="00AF44D8">
      <w:pPr>
        <w:jc w:val="both"/>
        <w:rPr>
          <w:rFonts w:ascii="Arial" w:hAnsi="Arial" w:cs="Arial"/>
        </w:rPr>
      </w:pPr>
      <w:r>
        <w:rPr>
          <w:rFonts w:ascii="Arial" w:hAnsi="Arial" w:cs="Arial"/>
        </w:rPr>
        <w:t>While c</w:t>
      </w:r>
      <w:r w:rsidR="00196170">
        <w:rPr>
          <w:rFonts w:ascii="Arial" w:hAnsi="Arial" w:cs="Arial"/>
        </w:rPr>
        <w:t>omparative negligence is a defense to Section 200 and 241(6) claims</w:t>
      </w:r>
      <w:r>
        <w:rPr>
          <w:rFonts w:ascii="Arial" w:hAnsi="Arial" w:cs="Arial"/>
        </w:rPr>
        <w:t>,</w:t>
      </w:r>
      <w:r w:rsidR="00DB66E6">
        <w:rPr>
          <w:rFonts w:ascii="Arial" w:hAnsi="Arial" w:cs="Arial"/>
        </w:rPr>
        <w:t xml:space="preserve"> the same may hold true and</w:t>
      </w:r>
      <w:r w:rsidR="00373C38">
        <w:rPr>
          <w:rFonts w:ascii="Arial" w:hAnsi="Arial" w:cs="Arial"/>
        </w:rPr>
        <w:t xml:space="preserve"> liability would not attach where a worker did not avail him or herself of the available </w:t>
      </w:r>
      <w:r w:rsidR="00DB66E6">
        <w:rPr>
          <w:rFonts w:ascii="Arial" w:hAnsi="Arial" w:cs="Arial"/>
        </w:rPr>
        <w:t xml:space="preserve">mandated </w:t>
      </w:r>
      <w:r w:rsidR="00373C38">
        <w:rPr>
          <w:rFonts w:ascii="Arial" w:hAnsi="Arial" w:cs="Arial"/>
        </w:rPr>
        <w:t>protections</w:t>
      </w:r>
      <w:r>
        <w:rPr>
          <w:rFonts w:ascii="Arial" w:hAnsi="Arial" w:cs="Arial"/>
        </w:rPr>
        <w:t xml:space="preserve"> or</w:t>
      </w:r>
      <w:r w:rsidR="00DB6264">
        <w:rPr>
          <w:rFonts w:ascii="Arial" w:hAnsi="Arial" w:cs="Arial"/>
        </w:rPr>
        <w:t xml:space="preserve"> </w:t>
      </w:r>
      <w:r w:rsidR="00373C38">
        <w:rPr>
          <w:rFonts w:ascii="Arial" w:hAnsi="Arial" w:cs="Arial"/>
        </w:rPr>
        <w:t xml:space="preserve">chose to </w:t>
      </w:r>
      <w:r w:rsidR="00DB6264">
        <w:rPr>
          <w:rFonts w:ascii="Arial" w:hAnsi="Arial" w:cs="Arial"/>
        </w:rPr>
        <w:t>continue working while knowing proper pre</w:t>
      </w:r>
      <w:r>
        <w:rPr>
          <w:rFonts w:ascii="Arial" w:hAnsi="Arial" w:cs="Arial"/>
        </w:rPr>
        <w:t xml:space="preserve">cautions were not being taken.  </w:t>
      </w:r>
      <w:r w:rsidRPr="00FD09B6">
        <w:rPr>
          <w:rFonts w:ascii="Arial" w:hAnsi="Arial" w:cs="Arial"/>
        </w:rPr>
        <w:t>"The duty imposed under Labor Law § 200 , which merely codifies the common-law duty to provide a safe place to work, does not extend to situations where the danger at issue is readily observable, bearing in mind the age, intelligence and experience of the worker."</w:t>
      </w:r>
      <w:r>
        <w:rPr>
          <w:rStyle w:val="FootnoteReference"/>
          <w:rFonts w:ascii="Arial" w:hAnsi="Arial" w:cs="Arial"/>
        </w:rPr>
        <w:footnoteReference w:id="15"/>
      </w:r>
      <w:r>
        <w:rPr>
          <w:rFonts w:ascii="Arial" w:hAnsi="Arial" w:cs="Arial"/>
        </w:rPr>
        <w:t xml:space="preserve">  However, plaintiffs will be quick to argue that it is the owner/employer’s responsibility to ensure that all workers are abiding by the proper PPE requirements and any failure to do so would necessitate some affirmative action such as sending workers home who refuse to maintain social distancing and/or wear proper facial protection.</w:t>
      </w:r>
    </w:p>
    <w:p w:rsidR="00FD09B6" w:rsidRDefault="00FD09B6" w:rsidP="00AF44D8">
      <w:pPr>
        <w:jc w:val="both"/>
        <w:rPr>
          <w:rFonts w:ascii="Arial" w:hAnsi="Arial" w:cs="Arial"/>
        </w:rPr>
      </w:pPr>
    </w:p>
    <w:p w:rsidR="00FD09B6" w:rsidRDefault="00DF03B4" w:rsidP="00AF44D8">
      <w:pPr>
        <w:jc w:val="both"/>
        <w:rPr>
          <w:rFonts w:ascii="Arial" w:hAnsi="Arial" w:cs="Arial"/>
        </w:rPr>
      </w:pPr>
      <w:r>
        <w:rPr>
          <w:rFonts w:ascii="Arial" w:hAnsi="Arial" w:cs="Arial"/>
        </w:rPr>
        <w:t xml:space="preserve">In </w:t>
      </w:r>
      <w:r w:rsidRPr="00731E50">
        <w:rPr>
          <w:rFonts w:ascii="Arial" w:hAnsi="Arial" w:cs="Arial"/>
          <w:i/>
        </w:rPr>
        <w:t>Drago v. New York City Transit Auth</w:t>
      </w:r>
      <w:r w:rsidRPr="00373C38">
        <w:rPr>
          <w:rFonts w:ascii="Arial" w:hAnsi="Arial" w:cs="Arial"/>
        </w:rPr>
        <w:t>.</w:t>
      </w:r>
      <w:r w:rsidR="00E953BB">
        <w:rPr>
          <w:rStyle w:val="FootnoteReference"/>
          <w:rFonts w:ascii="Arial" w:hAnsi="Arial" w:cs="Arial"/>
        </w:rPr>
        <w:footnoteReference w:id="16"/>
      </w:r>
      <w:r w:rsidRPr="00373C38">
        <w:rPr>
          <w:rFonts w:ascii="Arial" w:hAnsi="Arial" w:cs="Arial"/>
        </w:rPr>
        <w:t xml:space="preserve">, </w:t>
      </w:r>
      <w:r>
        <w:rPr>
          <w:rFonts w:ascii="Arial" w:hAnsi="Arial" w:cs="Arial"/>
        </w:rPr>
        <w:t xml:space="preserve">plaintiff </w:t>
      </w:r>
      <w:r w:rsidRPr="00FD09B6">
        <w:rPr>
          <w:rFonts w:ascii="Arial" w:hAnsi="Arial" w:cs="Arial"/>
        </w:rPr>
        <w:t>fell whi</w:t>
      </w:r>
      <w:r w:rsidR="00182627">
        <w:rPr>
          <w:rFonts w:ascii="Arial" w:hAnsi="Arial" w:cs="Arial"/>
        </w:rPr>
        <w:t xml:space="preserve">le trying to run away from </w:t>
      </w:r>
      <w:r w:rsidR="00D5203F">
        <w:rPr>
          <w:rFonts w:ascii="Arial" w:hAnsi="Arial" w:cs="Arial"/>
        </w:rPr>
        <w:t>an exploding</w:t>
      </w:r>
      <w:r w:rsidRPr="00FD09B6">
        <w:rPr>
          <w:rFonts w:ascii="Arial" w:hAnsi="Arial" w:cs="Arial"/>
        </w:rPr>
        <w:t xml:space="preserve"> electric cable in a subway tunnel.</w:t>
      </w:r>
      <w:r w:rsidR="00182627">
        <w:rPr>
          <w:rStyle w:val="FootnoteReference"/>
          <w:rFonts w:ascii="Arial" w:hAnsi="Arial" w:cs="Arial"/>
        </w:rPr>
        <w:footnoteReference w:id="17"/>
      </w:r>
      <w:r w:rsidRPr="00FD09B6">
        <w:rPr>
          <w:rFonts w:ascii="Arial" w:hAnsi="Arial" w:cs="Arial"/>
        </w:rPr>
        <w:t xml:space="preserve"> </w:t>
      </w:r>
      <w:r w:rsidR="00182627">
        <w:rPr>
          <w:rFonts w:ascii="Arial" w:hAnsi="Arial" w:cs="Arial"/>
        </w:rPr>
        <w:t>In denying the p</w:t>
      </w:r>
      <w:r>
        <w:rPr>
          <w:rFonts w:ascii="Arial" w:hAnsi="Arial" w:cs="Arial"/>
        </w:rPr>
        <w:t xml:space="preserve">laintiff’s summary judgment </w:t>
      </w:r>
      <w:r w:rsidR="00182627">
        <w:rPr>
          <w:rFonts w:ascii="Arial" w:hAnsi="Arial" w:cs="Arial"/>
        </w:rPr>
        <w:t>motion, the court held</w:t>
      </w:r>
      <w:r w:rsidR="00975E64">
        <w:rPr>
          <w:rFonts w:ascii="Arial" w:hAnsi="Arial" w:cs="Arial"/>
        </w:rPr>
        <w:t xml:space="preserve"> </w:t>
      </w:r>
      <w:r>
        <w:rPr>
          <w:rFonts w:ascii="Arial" w:hAnsi="Arial" w:cs="Arial"/>
        </w:rPr>
        <w:t>“</w:t>
      </w:r>
      <w:r w:rsidR="00975E64">
        <w:rPr>
          <w:rFonts w:ascii="Arial" w:hAnsi="Arial" w:cs="Arial"/>
        </w:rPr>
        <w:t>[t]</w:t>
      </w:r>
      <w:r w:rsidRPr="00FD09B6">
        <w:rPr>
          <w:rFonts w:ascii="Arial" w:hAnsi="Arial" w:cs="Arial"/>
        </w:rPr>
        <w:t>he injured plaintiff's knowing decision to continue with the installation of the new cable only a few feet from the live old cable creates a question of fact regarding the injured plaintiff's potential comparative  negligence</w:t>
      </w:r>
      <w:r>
        <w:rPr>
          <w:rFonts w:ascii="Arial" w:hAnsi="Arial" w:cs="Arial"/>
        </w:rPr>
        <w:t>.”</w:t>
      </w:r>
      <w:r w:rsidR="00E953BB">
        <w:rPr>
          <w:rFonts w:ascii="Arial" w:hAnsi="Arial" w:cs="Arial"/>
        </w:rPr>
        <w:t xml:space="preserve">  </w:t>
      </w:r>
      <w:r w:rsidR="00FD09B6">
        <w:rPr>
          <w:rFonts w:ascii="Arial" w:hAnsi="Arial" w:cs="Arial"/>
        </w:rPr>
        <w:t>In contrast,</w:t>
      </w:r>
      <w:r w:rsidR="001A76CE">
        <w:rPr>
          <w:rFonts w:ascii="Arial" w:hAnsi="Arial" w:cs="Arial"/>
        </w:rPr>
        <w:t xml:space="preserve"> in</w:t>
      </w:r>
      <w:r w:rsidR="00FD09B6">
        <w:rPr>
          <w:rFonts w:ascii="Arial" w:hAnsi="Arial" w:cs="Arial"/>
        </w:rPr>
        <w:t xml:space="preserve"> </w:t>
      </w:r>
      <w:r w:rsidR="001A76CE" w:rsidRPr="00731E50">
        <w:rPr>
          <w:rFonts w:ascii="Arial" w:hAnsi="Arial" w:cs="Arial"/>
          <w:i/>
        </w:rPr>
        <w:t>England v. Vacri Constr. Corp</w:t>
      </w:r>
      <w:r w:rsidR="001A76CE" w:rsidRPr="001A76CE">
        <w:rPr>
          <w:rFonts w:ascii="Arial" w:hAnsi="Arial" w:cs="Arial"/>
        </w:rPr>
        <w:t>.,</w:t>
      </w:r>
      <w:r w:rsidR="001A76CE">
        <w:rPr>
          <w:rFonts w:ascii="Arial" w:hAnsi="Arial" w:cs="Arial"/>
        </w:rPr>
        <w:t xml:space="preserve"> an inspector </w:t>
      </w:r>
      <w:r w:rsidR="001A76CE" w:rsidRPr="001A76CE">
        <w:rPr>
          <w:rFonts w:ascii="Arial" w:hAnsi="Arial" w:cs="Arial"/>
        </w:rPr>
        <w:t xml:space="preserve">struck his head on low pipe extending across </w:t>
      </w:r>
      <w:r w:rsidR="001A76CE">
        <w:rPr>
          <w:rFonts w:ascii="Arial" w:hAnsi="Arial" w:cs="Arial"/>
        </w:rPr>
        <w:t xml:space="preserve">the </w:t>
      </w:r>
      <w:r w:rsidR="001A76CE" w:rsidRPr="001A76CE">
        <w:rPr>
          <w:rFonts w:ascii="Arial" w:hAnsi="Arial" w:cs="Arial"/>
        </w:rPr>
        <w:t xml:space="preserve">doorway in </w:t>
      </w:r>
      <w:r w:rsidR="001A76CE">
        <w:rPr>
          <w:rFonts w:ascii="Arial" w:hAnsi="Arial" w:cs="Arial"/>
        </w:rPr>
        <w:t xml:space="preserve">the </w:t>
      </w:r>
      <w:r w:rsidR="001A76CE" w:rsidRPr="001A76CE">
        <w:rPr>
          <w:rFonts w:ascii="Arial" w:hAnsi="Arial" w:cs="Arial"/>
        </w:rPr>
        <w:t>basement of building where defendant was performing construction work</w:t>
      </w:r>
      <w:r w:rsidR="001A76CE">
        <w:rPr>
          <w:rFonts w:ascii="Arial" w:hAnsi="Arial" w:cs="Arial"/>
        </w:rPr>
        <w:t xml:space="preserve"> and bought 200 and 241(6) claims.</w:t>
      </w:r>
      <w:r w:rsidR="00E953BB">
        <w:rPr>
          <w:rStyle w:val="FootnoteReference"/>
          <w:rFonts w:ascii="Arial" w:hAnsi="Arial" w:cs="Arial"/>
        </w:rPr>
        <w:footnoteReference w:id="18"/>
      </w:r>
      <w:r w:rsidR="001A76CE">
        <w:rPr>
          <w:rFonts w:ascii="Arial" w:hAnsi="Arial" w:cs="Arial"/>
        </w:rPr>
        <w:t xml:space="preserve">  The Court denied the defendant’s motion for summary judgment.  “</w:t>
      </w:r>
      <w:r w:rsidR="001A76CE" w:rsidRPr="001A76CE">
        <w:rPr>
          <w:rFonts w:ascii="Arial" w:hAnsi="Arial" w:cs="Arial"/>
        </w:rPr>
        <w:t>While it was undisputed that the allegedly dangerous condition of the pipe was readily observable and well known to plaintiff prior to the accident, these circumstances merely negated any duty that defendant owed plaintiff to warn of potentially dangerous conditions</w:t>
      </w:r>
      <w:r w:rsidR="001A76CE">
        <w:rPr>
          <w:rFonts w:ascii="Arial" w:hAnsi="Arial" w:cs="Arial"/>
        </w:rPr>
        <w:t>.”</w:t>
      </w:r>
    </w:p>
    <w:p w:rsidR="002B5DCD" w:rsidRDefault="002B5DCD" w:rsidP="00AF44D8">
      <w:pPr>
        <w:jc w:val="both"/>
        <w:rPr>
          <w:rFonts w:ascii="Arial" w:hAnsi="Arial" w:cs="Arial"/>
        </w:rPr>
      </w:pPr>
    </w:p>
    <w:p w:rsidR="002B5DCD" w:rsidRDefault="002B5DCD" w:rsidP="00AF44D8">
      <w:pPr>
        <w:jc w:val="both"/>
        <w:rPr>
          <w:rFonts w:ascii="Arial" w:hAnsi="Arial" w:cs="Arial"/>
        </w:rPr>
      </w:pPr>
      <w:r>
        <w:rPr>
          <w:rFonts w:ascii="Arial" w:hAnsi="Arial" w:cs="Arial"/>
        </w:rPr>
        <w:t xml:space="preserve">It appears that liability would not attach if a defendant can </w:t>
      </w:r>
      <w:r w:rsidR="00E953BB">
        <w:rPr>
          <w:rFonts w:ascii="Arial" w:hAnsi="Arial" w:cs="Arial"/>
        </w:rPr>
        <w:t>demonstrate</w:t>
      </w:r>
      <w:r>
        <w:rPr>
          <w:rFonts w:ascii="Arial" w:hAnsi="Arial" w:cs="Arial"/>
        </w:rPr>
        <w:t xml:space="preserve"> that all </w:t>
      </w:r>
      <w:r w:rsidR="00E953BB">
        <w:rPr>
          <w:rFonts w:ascii="Arial" w:hAnsi="Arial" w:cs="Arial"/>
        </w:rPr>
        <w:t xml:space="preserve">safety </w:t>
      </w:r>
      <w:r>
        <w:rPr>
          <w:rFonts w:ascii="Arial" w:hAnsi="Arial" w:cs="Arial"/>
        </w:rPr>
        <w:t>protocols were followed and all reasonable precautions were taken.</w:t>
      </w:r>
      <w:r w:rsidR="0064654A">
        <w:rPr>
          <w:rFonts w:ascii="Arial" w:hAnsi="Arial" w:cs="Arial"/>
        </w:rPr>
        <w:t xml:space="preserve">  Alternatively, a failure to satisfy the CDC guidelines could conceivable result in a presumption of negligence.</w:t>
      </w:r>
    </w:p>
    <w:p w:rsidR="002B5DCD" w:rsidRDefault="002B5DCD" w:rsidP="00AF44D8">
      <w:pPr>
        <w:jc w:val="both"/>
        <w:rPr>
          <w:rFonts w:ascii="Arial" w:hAnsi="Arial" w:cs="Arial"/>
        </w:rPr>
      </w:pPr>
    </w:p>
    <w:p w:rsidR="00E953BB" w:rsidRDefault="002B5DCD" w:rsidP="00EA54C3">
      <w:pPr>
        <w:jc w:val="both"/>
        <w:rPr>
          <w:rFonts w:ascii="Arial" w:hAnsi="Arial" w:cs="Arial"/>
        </w:rPr>
      </w:pPr>
      <w:r>
        <w:rPr>
          <w:rFonts w:ascii="Arial" w:hAnsi="Arial" w:cs="Arial"/>
        </w:rPr>
        <w:t xml:space="preserve">A major obstacle would seem to be producing evidence that </w:t>
      </w:r>
      <w:r w:rsidRPr="00AF44D8">
        <w:rPr>
          <w:rFonts w:ascii="Arial" w:hAnsi="Arial" w:cs="Arial"/>
        </w:rPr>
        <w:t xml:space="preserve">that </w:t>
      </w:r>
      <w:r>
        <w:rPr>
          <w:rFonts w:ascii="Arial" w:hAnsi="Arial" w:cs="Arial"/>
        </w:rPr>
        <w:t xml:space="preserve">exposure at the work site caused the subsequent illness since the virus is pervasive and difficult to track.  </w:t>
      </w:r>
      <w:r w:rsidR="00AF44D8" w:rsidRPr="00AF44D8">
        <w:rPr>
          <w:rFonts w:ascii="Arial" w:hAnsi="Arial" w:cs="Arial"/>
        </w:rPr>
        <w:t>In toxic tort cases, “It is well-established that an opinion on causation should set forth a plaintiff's  exposure to a toxin, that the toxin is capable of causing the particular illness (general causation) and that plaintiff was exposed to sufficient   levels of the toxin to cause the illness (specific causation).”</w:t>
      </w:r>
      <w:r w:rsidR="00E953BB">
        <w:rPr>
          <w:rStyle w:val="FootnoteReference"/>
          <w:rFonts w:ascii="Arial" w:hAnsi="Arial" w:cs="Arial"/>
        </w:rPr>
        <w:footnoteReference w:id="19"/>
      </w:r>
      <w:r w:rsidR="00AF44D8" w:rsidRPr="00AF44D8">
        <w:rPr>
          <w:rFonts w:ascii="Arial" w:hAnsi="Arial" w:cs="Arial"/>
        </w:rPr>
        <w:t xml:space="preserve"> </w:t>
      </w:r>
    </w:p>
    <w:p w:rsidR="00E953BB" w:rsidRDefault="00E953BB" w:rsidP="00EA54C3">
      <w:pPr>
        <w:jc w:val="both"/>
        <w:rPr>
          <w:rFonts w:ascii="Arial" w:hAnsi="Arial" w:cs="Arial"/>
        </w:rPr>
      </w:pPr>
    </w:p>
    <w:p w:rsidR="00094573" w:rsidRDefault="00BE450D" w:rsidP="00415F5E">
      <w:pPr>
        <w:jc w:val="both"/>
        <w:rPr>
          <w:rFonts w:ascii="Arial" w:hAnsi="Arial" w:cs="Arial"/>
        </w:rPr>
      </w:pPr>
      <w:r>
        <w:rPr>
          <w:rFonts w:ascii="Arial" w:hAnsi="Arial" w:cs="Arial"/>
        </w:rPr>
        <w:t xml:space="preserve">Things are </w:t>
      </w:r>
      <w:r w:rsidR="00B17D7D">
        <w:rPr>
          <w:rFonts w:ascii="Arial" w:hAnsi="Arial" w:cs="Arial"/>
        </w:rPr>
        <w:t>rapidly</w:t>
      </w:r>
      <w:r>
        <w:rPr>
          <w:rFonts w:ascii="Arial" w:hAnsi="Arial" w:cs="Arial"/>
        </w:rPr>
        <w:t xml:space="preserve"> changing and there is no </w:t>
      </w:r>
      <w:r w:rsidR="00B17D7D">
        <w:rPr>
          <w:rFonts w:ascii="Arial" w:hAnsi="Arial" w:cs="Arial"/>
        </w:rPr>
        <w:t>bright</w:t>
      </w:r>
      <w:r>
        <w:rPr>
          <w:rFonts w:ascii="Arial" w:hAnsi="Arial" w:cs="Arial"/>
        </w:rPr>
        <w:t xml:space="preserve"> line in determining the legal impact</w:t>
      </w:r>
      <w:r w:rsidR="00415F5E">
        <w:rPr>
          <w:rFonts w:ascii="Arial" w:hAnsi="Arial" w:cs="Arial"/>
        </w:rPr>
        <w:t xml:space="preserve"> of COVID 19 on existing Labor Law standards</w:t>
      </w:r>
      <w:r>
        <w:rPr>
          <w:rFonts w:ascii="Arial" w:hAnsi="Arial" w:cs="Arial"/>
        </w:rPr>
        <w:t xml:space="preserve">, which must </w:t>
      </w:r>
      <w:r w:rsidR="00415F5E">
        <w:rPr>
          <w:rFonts w:ascii="Arial" w:hAnsi="Arial" w:cs="Arial"/>
        </w:rPr>
        <w:t>now be evaluated based o</w:t>
      </w:r>
      <w:r>
        <w:rPr>
          <w:rFonts w:ascii="Arial" w:hAnsi="Arial" w:cs="Arial"/>
        </w:rPr>
        <w:t xml:space="preserve">n </w:t>
      </w:r>
      <w:r w:rsidR="00415F5E">
        <w:rPr>
          <w:rFonts w:ascii="Arial" w:hAnsi="Arial" w:cs="Arial"/>
        </w:rPr>
        <w:t xml:space="preserve">these novel </w:t>
      </w:r>
      <w:r>
        <w:rPr>
          <w:rFonts w:ascii="Arial" w:hAnsi="Arial" w:cs="Arial"/>
        </w:rPr>
        <w:t>issues.</w:t>
      </w:r>
      <w:r w:rsidR="0064654A">
        <w:rPr>
          <w:rFonts w:ascii="Arial" w:hAnsi="Arial" w:cs="Arial"/>
        </w:rPr>
        <w:t xml:space="preserve">  </w:t>
      </w:r>
    </w:p>
    <w:p w:rsidR="00094573" w:rsidRDefault="00094573" w:rsidP="00BE450D">
      <w:pPr>
        <w:jc w:val="both"/>
        <w:rPr>
          <w:rFonts w:ascii="Arial" w:hAnsi="Arial" w:cs="Arial"/>
        </w:rPr>
      </w:pPr>
    </w:p>
    <w:p w:rsidR="00BE450D" w:rsidRDefault="00094573" w:rsidP="00BE450D">
      <w:pPr>
        <w:jc w:val="both"/>
        <w:rPr>
          <w:rFonts w:ascii="Arial" w:hAnsi="Arial" w:cs="Arial"/>
        </w:rPr>
      </w:pPr>
      <w:r>
        <w:rPr>
          <w:rFonts w:ascii="Arial" w:hAnsi="Arial" w:cs="Arial"/>
        </w:rPr>
        <w:t xml:space="preserve">Fleischner Potash stands ready to assist and advise our clients in navigating these unprecedented times and address the impact of COVID 19 on </w:t>
      </w:r>
      <w:r w:rsidR="00415F5E">
        <w:rPr>
          <w:rFonts w:ascii="Arial" w:hAnsi="Arial" w:cs="Arial"/>
        </w:rPr>
        <w:t>coverage</w:t>
      </w:r>
      <w:r>
        <w:rPr>
          <w:rFonts w:ascii="Arial" w:hAnsi="Arial" w:cs="Arial"/>
        </w:rPr>
        <w:t xml:space="preserve"> and defense matters.</w:t>
      </w:r>
      <w:r w:rsidR="00B03BB1">
        <w:rPr>
          <w:rFonts w:ascii="Arial" w:hAnsi="Arial" w:cs="Arial"/>
        </w:rPr>
        <w:t xml:space="preserve">  Please visit our COVID 19 section for additional information</w:t>
      </w:r>
    </w:p>
    <w:p w:rsidR="00BE450D" w:rsidRDefault="00BE450D" w:rsidP="00BE450D">
      <w:pPr>
        <w:jc w:val="both"/>
        <w:rPr>
          <w:rFonts w:ascii="Arial" w:hAnsi="Arial" w:cs="Arial"/>
        </w:rPr>
      </w:pPr>
    </w:p>
    <w:p w:rsidR="00B03BB1" w:rsidRDefault="00BE450D" w:rsidP="00BE450D">
      <w:pPr>
        <w:jc w:val="both"/>
        <w:rPr>
          <w:rFonts w:ascii="Arial" w:hAnsi="Arial" w:cs="Arial"/>
        </w:rPr>
      </w:pPr>
      <w:r w:rsidRPr="00BE450D">
        <w:rPr>
          <w:rFonts w:ascii="Arial" w:hAnsi="Arial" w:cs="Arial"/>
        </w:rPr>
        <w:t xml:space="preserve">This alert is provided for information purposes only and does not constitute legal advice and is not intended to form an attorney client relationship. </w:t>
      </w:r>
    </w:p>
    <w:p w:rsidR="00B03BB1" w:rsidRDefault="00B03BB1" w:rsidP="00BE450D">
      <w:pPr>
        <w:jc w:val="both"/>
        <w:rPr>
          <w:rFonts w:ascii="Arial" w:hAnsi="Arial" w:cs="Arial"/>
        </w:rPr>
      </w:pPr>
    </w:p>
    <w:p w:rsidR="002B5DCD" w:rsidRDefault="00BE450D" w:rsidP="00BE450D">
      <w:pPr>
        <w:jc w:val="both"/>
        <w:rPr>
          <w:rFonts w:ascii="Arial" w:hAnsi="Arial" w:cs="Arial"/>
        </w:rPr>
      </w:pPr>
      <w:r>
        <w:rPr>
          <w:rFonts w:ascii="Arial" w:hAnsi="Arial" w:cs="Arial"/>
        </w:rPr>
        <w:t xml:space="preserve"> </w:t>
      </w:r>
    </w:p>
    <w:sectPr w:rsidR="002B5D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80" w:rsidRDefault="00342880" w:rsidP="00D61F2E">
      <w:r>
        <w:separator/>
      </w:r>
    </w:p>
  </w:endnote>
  <w:endnote w:type="continuationSeparator" w:id="0">
    <w:p w:rsidR="00342880" w:rsidRDefault="00342880" w:rsidP="00D6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80" w:rsidRDefault="00342880" w:rsidP="00D61F2E">
      <w:r>
        <w:separator/>
      </w:r>
    </w:p>
  </w:footnote>
  <w:footnote w:type="continuationSeparator" w:id="0">
    <w:p w:rsidR="00342880" w:rsidRDefault="00342880" w:rsidP="00D61F2E">
      <w:r>
        <w:continuationSeparator/>
      </w:r>
    </w:p>
  </w:footnote>
  <w:footnote w:id="1">
    <w:p w:rsidR="00D61F2E" w:rsidRDefault="00D61F2E">
      <w:pPr>
        <w:pStyle w:val="FootnoteText"/>
      </w:pPr>
      <w:r>
        <w:rPr>
          <w:rStyle w:val="FootnoteReference"/>
        </w:rPr>
        <w:footnoteRef/>
      </w:r>
      <w:r>
        <w:t xml:space="preserve"> </w:t>
      </w:r>
      <w:hyperlink r:id="rId1" w:history="1">
        <w:r w:rsidRPr="00125E64">
          <w:rPr>
            <w:rStyle w:val="Hyperlink"/>
          </w:rPr>
          <w:t>https://www.cdc.gov/flu/pandemic-resources/pdf/pandemic-influenza-implementation.pdf</w:t>
        </w:r>
      </w:hyperlink>
    </w:p>
  </w:footnote>
  <w:footnote w:id="2">
    <w:p w:rsidR="00D61F2E" w:rsidRDefault="00D61F2E">
      <w:pPr>
        <w:pStyle w:val="FootnoteText"/>
      </w:pPr>
      <w:r>
        <w:rPr>
          <w:rStyle w:val="FootnoteReference"/>
        </w:rPr>
        <w:footnoteRef/>
      </w:r>
      <w:r>
        <w:t xml:space="preserve"> See generally id. At pg. 175.</w:t>
      </w:r>
    </w:p>
  </w:footnote>
  <w:footnote w:id="3">
    <w:p w:rsidR="00CB164B" w:rsidRDefault="00CB164B">
      <w:pPr>
        <w:pStyle w:val="FootnoteText"/>
      </w:pPr>
      <w:r>
        <w:rPr>
          <w:rStyle w:val="FootnoteReference"/>
        </w:rPr>
        <w:footnoteRef/>
      </w:r>
      <w:r>
        <w:t xml:space="preserve"> </w:t>
      </w:r>
      <w:r w:rsidRPr="00CB164B">
        <w:t>See Russin v. Louis N. Picciano &amp; Son, 54 N.Y.2d 311, 317-319, 429 N.E.2d 805, 445 N.Y.S.2d 127 (1981).</w:t>
      </w:r>
    </w:p>
  </w:footnote>
  <w:footnote w:id="4">
    <w:p w:rsidR="00CB164B" w:rsidRDefault="00CB164B">
      <w:pPr>
        <w:pStyle w:val="FootnoteText"/>
      </w:pPr>
      <w:r>
        <w:rPr>
          <w:rStyle w:val="FootnoteReference"/>
        </w:rPr>
        <w:footnoteRef/>
      </w:r>
      <w:r>
        <w:t xml:space="preserve"> </w:t>
      </w:r>
      <w:r w:rsidRPr="00CB164B">
        <w:t>See Comes v. New York State Electrical and Gas, 82 N.Y.2d 876, 609 N.Y.S.2d 168 (1993).</w:t>
      </w:r>
    </w:p>
  </w:footnote>
  <w:footnote w:id="5">
    <w:p w:rsidR="00CB164B" w:rsidRDefault="00CB164B">
      <w:pPr>
        <w:pStyle w:val="FootnoteText"/>
      </w:pPr>
      <w:r>
        <w:rPr>
          <w:rStyle w:val="FootnoteReference"/>
        </w:rPr>
        <w:footnoteRef/>
      </w:r>
      <w:r>
        <w:t xml:space="preserve"> </w:t>
      </w:r>
      <w:r w:rsidRPr="00CB164B">
        <w:t>See St. Louis v. Town of N. Elba, 16 N.Y.3d 411, 947 N.E.2d 1169, 923 N.Y.S.2d 391 (2011).</w:t>
      </w:r>
    </w:p>
  </w:footnote>
  <w:footnote w:id="6">
    <w:p w:rsidR="00FF04B5" w:rsidRDefault="00FF04B5">
      <w:pPr>
        <w:pStyle w:val="FootnoteText"/>
      </w:pPr>
      <w:r>
        <w:rPr>
          <w:rStyle w:val="FootnoteReference"/>
        </w:rPr>
        <w:footnoteRef/>
      </w:r>
      <w:r>
        <w:t xml:space="preserve"> </w:t>
      </w:r>
      <w:r w:rsidRPr="00FF04B5">
        <w:t>See Misicki v. Caradonna,  12 N.Y.3d 511, 909 N.E.2d 1213, 882 N.Y.S.2d 375 (2009).</w:t>
      </w:r>
    </w:p>
  </w:footnote>
  <w:footnote w:id="7">
    <w:p w:rsidR="0016165A" w:rsidRDefault="0016165A">
      <w:pPr>
        <w:pStyle w:val="FootnoteText"/>
      </w:pPr>
      <w:r>
        <w:rPr>
          <w:rStyle w:val="FootnoteReference"/>
        </w:rPr>
        <w:footnoteRef/>
      </w:r>
      <w:r>
        <w:t xml:space="preserve"> </w:t>
      </w:r>
      <w:r w:rsidRPr="0016165A">
        <w:t>https://www.governor.ny.gov/news/governor-cuomo-issues-guidance-essential-services-under-new-york-state-pause-executive-order</w:t>
      </w:r>
    </w:p>
  </w:footnote>
  <w:footnote w:id="8">
    <w:p w:rsidR="0016165A" w:rsidRDefault="0016165A">
      <w:pPr>
        <w:pStyle w:val="FootnoteText"/>
      </w:pPr>
      <w:r>
        <w:rPr>
          <w:rStyle w:val="FootnoteReference"/>
        </w:rPr>
        <w:footnoteRef/>
      </w:r>
      <w:r>
        <w:t xml:space="preserve"> </w:t>
      </w:r>
      <w:r w:rsidRPr="0016165A">
        <w:t>https://esd.ny.gov/guidance-executive-order-2026</w:t>
      </w:r>
    </w:p>
  </w:footnote>
  <w:footnote w:id="9">
    <w:p w:rsidR="0016165A" w:rsidRDefault="0016165A">
      <w:pPr>
        <w:pStyle w:val="FootnoteText"/>
      </w:pPr>
      <w:r>
        <w:rPr>
          <w:rStyle w:val="FootnoteReference"/>
        </w:rPr>
        <w:footnoteRef/>
      </w:r>
      <w:r>
        <w:t xml:space="preserve"> Id.</w:t>
      </w:r>
    </w:p>
  </w:footnote>
  <w:footnote w:id="10">
    <w:p w:rsidR="005F2DFA" w:rsidRDefault="005F2DFA">
      <w:pPr>
        <w:pStyle w:val="FootnoteText"/>
      </w:pPr>
      <w:r>
        <w:rPr>
          <w:rStyle w:val="FootnoteReference"/>
        </w:rPr>
        <w:footnoteRef/>
      </w:r>
      <w:r>
        <w:t xml:space="preserve"> </w:t>
      </w:r>
      <w:r w:rsidRPr="005F2DFA">
        <w:t>62 A.D.3d 531, 879 N.Y.S.2d 119 (1st Dep’t  2009)</w:t>
      </w:r>
    </w:p>
  </w:footnote>
  <w:footnote w:id="11">
    <w:p w:rsidR="005F2DFA" w:rsidRDefault="005F2DFA">
      <w:pPr>
        <w:pStyle w:val="FootnoteText"/>
      </w:pPr>
      <w:r>
        <w:rPr>
          <w:rStyle w:val="FootnoteReference"/>
        </w:rPr>
        <w:footnoteRef/>
      </w:r>
      <w:r>
        <w:t xml:space="preserve"> Id. </w:t>
      </w:r>
    </w:p>
  </w:footnote>
  <w:footnote w:id="12">
    <w:p w:rsidR="005F2DFA" w:rsidRDefault="005F2DFA">
      <w:pPr>
        <w:pStyle w:val="FootnoteText"/>
      </w:pPr>
      <w:r>
        <w:rPr>
          <w:rStyle w:val="FootnoteReference"/>
        </w:rPr>
        <w:footnoteRef/>
      </w:r>
      <w:r>
        <w:t xml:space="preserve"> Id.</w:t>
      </w:r>
    </w:p>
  </w:footnote>
  <w:footnote w:id="13">
    <w:p w:rsidR="001D485A" w:rsidRDefault="001D485A">
      <w:pPr>
        <w:pStyle w:val="FootnoteText"/>
      </w:pPr>
      <w:r>
        <w:rPr>
          <w:rStyle w:val="FootnoteReference"/>
        </w:rPr>
        <w:footnoteRef/>
      </w:r>
      <w:r>
        <w:t xml:space="preserve"> </w:t>
      </w:r>
      <w:r w:rsidRPr="001D485A">
        <w:t>Wiener v. City of New York, 939 N.Y.S.2d 745 (Sup. Ct. Qns. Cty. 2011)</w:t>
      </w:r>
    </w:p>
  </w:footnote>
  <w:footnote w:id="14">
    <w:p w:rsidR="001D485A" w:rsidRDefault="001D485A">
      <w:pPr>
        <w:pStyle w:val="FootnoteText"/>
      </w:pPr>
      <w:r>
        <w:rPr>
          <w:rStyle w:val="FootnoteReference"/>
        </w:rPr>
        <w:footnoteRef/>
      </w:r>
      <w:r>
        <w:t xml:space="preserve"> </w:t>
      </w:r>
      <w:r w:rsidRPr="001D485A">
        <w:t>22 A.D.3d 786, 803 N.Y.S.2d 692, (2d Dep’t 2005)</w:t>
      </w:r>
    </w:p>
  </w:footnote>
  <w:footnote w:id="15">
    <w:p w:rsidR="001D485A" w:rsidRDefault="001D485A">
      <w:pPr>
        <w:pStyle w:val="FootnoteText"/>
      </w:pPr>
      <w:r>
        <w:rPr>
          <w:rStyle w:val="FootnoteReference"/>
        </w:rPr>
        <w:footnoteRef/>
      </w:r>
      <w:r w:rsidRPr="001D485A">
        <w:t>Musillo v. Marist College, 306 A.D.2d 782, 762 N.Y.S.2d 663 (3d Dep’t 2003)</w:t>
      </w:r>
    </w:p>
  </w:footnote>
  <w:footnote w:id="16">
    <w:p w:rsidR="00E953BB" w:rsidRDefault="00E953BB">
      <w:pPr>
        <w:pStyle w:val="FootnoteText"/>
      </w:pPr>
      <w:r>
        <w:rPr>
          <w:rStyle w:val="FootnoteReference"/>
        </w:rPr>
        <w:footnoteRef/>
      </w:r>
      <w:r>
        <w:t xml:space="preserve"> </w:t>
      </w:r>
      <w:r w:rsidRPr="00E953BB">
        <w:t>227 A.D.2d 372</w:t>
      </w:r>
      <w:r>
        <w:t xml:space="preserve"> (2d Dept. 1996)</w:t>
      </w:r>
    </w:p>
  </w:footnote>
  <w:footnote w:id="17">
    <w:p w:rsidR="00182627" w:rsidRDefault="00182627">
      <w:pPr>
        <w:pStyle w:val="FootnoteText"/>
      </w:pPr>
      <w:r>
        <w:rPr>
          <w:rStyle w:val="FootnoteReference"/>
        </w:rPr>
        <w:footnoteRef/>
      </w:r>
      <w:r>
        <w:t xml:space="preserve"> </w:t>
      </w:r>
      <w:r w:rsidR="00E953BB">
        <w:t>Id.</w:t>
      </w:r>
    </w:p>
  </w:footnote>
  <w:footnote w:id="18">
    <w:p w:rsidR="00E953BB" w:rsidRDefault="00E953BB">
      <w:pPr>
        <w:pStyle w:val="FootnoteText"/>
      </w:pPr>
      <w:r>
        <w:rPr>
          <w:rStyle w:val="FootnoteReference"/>
        </w:rPr>
        <w:footnoteRef/>
      </w:r>
      <w:r>
        <w:t xml:space="preserve"> </w:t>
      </w:r>
      <w:r w:rsidRPr="00E953BB">
        <w:t>24 A.D.3d 1122, 807 N.Y.S.2d 669 (3d Dep’t, 2005)</w:t>
      </w:r>
    </w:p>
  </w:footnote>
  <w:footnote w:id="19">
    <w:p w:rsidR="00E953BB" w:rsidRDefault="00E953BB">
      <w:pPr>
        <w:pStyle w:val="FootnoteText"/>
      </w:pPr>
      <w:r>
        <w:rPr>
          <w:rStyle w:val="FootnoteReference"/>
        </w:rPr>
        <w:footnoteRef/>
      </w:r>
      <w:r>
        <w:t xml:space="preserve"> </w:t>
      </w:r>
      <w:r w:rsidRPr="00E953BB">
        <w:t>Parker v. Mobil Oil Corp., 7 N.Y.3d 434, 857 N.E.2d 1114, 824 N.Y.S.2d 584 (2006); See also Cubas v Clifton &amp; Classon Apt. Corp., 82 A.D.3d 695, 917 N.Y.S.2d 320 (2d Dep’t 2011) [A plaintiff alleging injuries from a toxic chemical exposure must provide objective evidence that the exposure caused the injury.]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925"/>
    <w:multiLevelType w:val="hybridMultilevel"/>
    <w:tmpl w:val="2AE4E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3421C"/>
    <w:multiLevelType w:val="hybridMultilevel"/>
    <w:tmpl w:val="92040E0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AC"/>
    <w:rsid w:val="00017DE9"/>
    <w:rsid w:val="0002446B"/>
    <w:rsid w:val="00031527"/>
    <w:rsid w:val="0003575B"/>
    <w:rsid w:val="00037B42"/>
    <w:rsid w:val="000611DF"/>
    <w:rsid w:val="00080154"/>
    <w:rsid w:val="00094573"/>
    <w:rsid w:val="000971F0"/>
    <w:rsid w:val="000A6FA9"/>
    <w:rsid w:val="000B6340"/>
    <w:rsid w:val="000C54FB"/>
    <w:rsid w:val="000C7E9F"/>
    <w:rsid w:val="0016165A"/>
    <w:rsid w:val="00182627"/>
    <w:rsid w:val="00196170"/>
    <w:rsid w:val="001A76CE"/>
    <w:rsid w:val="001A76F4"/>
    <w:rsid w:val="001C4642"/>
    <w:rsid w:val="001D485A"/>
    <w:rsid w:val="001E4730"/>
    <w:rsid w:val="00217632"/>
    <w:rsid w:val="0025117C"/>
    <w:rsid w:val="002862BE"/>
    <w:rsid w:val="002A0685"/>
    <w:rsid w:val="002B5DCD"/>
    <w:rsid w:val="002E53D6"/>
    <w:rsid w:val="00310B21"/>
    <w:rsid w:val="00342880"/>
    <w:rsid w:val="00373C38"/>
    <w:rsid w:val="003F005D"/>
    <w:rsid w:val="00415F5E"/>
    <w:rsid w:val="00425AEC"/>
    <w:rsid w:val="00442ECF"/>
    <w:rsid w:val="00496671"/>
    <w:rsid w:val="004A13E8"/>
    <w:rsid w:val="004A3B05"/>
    <w:rsid w:val="00522D7E"/>
    <w:rsid w:val="005E69FB"/>
    <w:rsid w:val="005F2DFA"/>
    <w:rsid w:val="006019F7"/>
    <w:rsid w:val="006325C9"/>
    <w:rsid w:val="0064654A"/>
    <w:rsid w:val="006C440C"/>
    <w:rsid w:val="00731E50"/>
    <w:rsid w:val="00741ED1"/>
    <w:rsid w:val="00752DF7"/>
    <w:rsid w:val="007744C3"/>
    <w:rsid w:val="008161AA"/>
    <w:rsid w:val="00836840"/>
    <w:rsid w:val="008724A4"/>
    <w:rsid w:val="008C5366"/>
    <w:rsid w:val="00901964"/>
    <w:rsid w:val="00916EC3"/>
    <w:rsid w:val="00973A01"/>
    <w:rsid w:val="00975E64"/>
    <w:rsid w:val="00A120E4"/>
    <w:rsid w:val="00A36C62"/>
    <w:rsid w:val="00A40D0F"/>
    <w:rsid w:val="00A40E9D"/>
    <w:rsid w:val="00A46E2F"/>
    <w:rsid w:val="00AA6860"/>
    <w:rsid w:val="00AF44D8"/>
    <w:rsid w:val="00B03BB1"/>
    <w:rsid w:val="00B073A6"/>
    <w:rsid w:val="00B17D7D"/>
    <w:rsid w:val="00B301A5"/>
    <w:rsid w:val="00B63EBF"/>
    <w:rsid w:val="00B84001"/>
    <w:rsid w:val="00BB096A"/>
    <w:rsid w:val="00BD6857"/>
    <w:rsid w:val="00BE2301"/>
    <w:rsid w:val="00BE450D"/>
    <w:rsid w:val="00CB164B"/>
    <w:rsid w:val="00D21E4A"/>
    <w:rsid w:val="00D5203F"/>
    <w:rsid w:val="00D61F2E"/>
    <w:rsid w:val="00D91FAC"/>
    <w:rsid w:val="00DB6264"/>
    <w:rsid w:val="00DB66E6"/>
    <w:rsid w:val="00DD17D2"/>
    <w:rsid w:val="00DF03B4"/>
    <w:rsid w:val="00E06B44"/>
    <w:rsid w:val="00E91A63"/>
    <w:rsid w:val="00E953BB"/>
    <w:rsid w:val="00EA54C3"/>
    <w:rsid w:val="00EC11F1"/>
    <w:rsid w:val="00EC7BFE"/>
    <w:rsid w:val="00F05810"/>
    <w:rsid w:val="00F327E3"/>
    <w:rsid w:val="00F612C2"/>
    <w:rsid w:val="00FB4043"/>
    <w:rsid w:val="00FB710E"/>
    <w:rsid w:val="00FD09B6"/>
    <w:rsid w:val="00FF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C3"/>
    <w:pPr>
      <w:ind w:left="720"/>
      <w:contextualSpacing/>
    </w:pPr>
  </w:style>
  <w:style w:type="character" w:styleId="Hyperlink">
    <w:name w:val="Hyperlink"/>
    <w:basedOn w:val="DefaultParagraphFont"/>
    <w:uiPriority w:val="99"/>
    <w:unhideWhenUsed/>
    <w:rsid w:val="0002446B"/>
    <w:rPr>
      <w:color w:val="0000FF" w:themeColor="hyperlink"/>
      <w:u w:val="single"/>
    </w:rPr>
  </w:style>
  <w:style w:type="paragraph" w:styleId="FootnoteText">
    <w:name w:val="footnote text"/>
    <w:basedOn w:val="Normal"/>
    <w:link w:val="FootnoteTextChar"/>
    <w:uiPriority w:val="99"/>
    <w:semiHidden/>
    <w:unhideWhenUsed/>
    <w:rsid w:val="00D61F2E"/>
    <w:rPr>
      <w:sz w:val="20"/>
      <w:szCs w:val="20"/>
    </w:rPr>
  </w:style>
  <w:style w:type="character" w:customStyle="1" w:styleId="FootnoteTextChar">
    <w:name w:val="Footnote Text Char"/>
    <w:basedOn w:val="DefaultParagraphFont"/>
    <w:link w:val="FootnoteText"/>
    <w:uiPriority w:val="99"/>
    <w:semiHidden/>
    <w:rsid w:val="00D61F2E"/>
    <w:rPr>
      <w:sz w:val="20"/>
      <w:szCs w:val="20"/>
    </w:rPr>
  </w:style>
  <w:style w:type="character" w:styleId="FootnoteReference">
    <w:name w:val="footnote reference"/>
    <w:basedOn w:val="DefaultParagraphFont"/>
    <w:uiPriority w:val="99"/>
    <w:semiHidden/>
    <w:unhideWhenUsed/>
    <w:rsid w:val="00D61F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C3"/>
    <w:pPr>
      <w:ind w:left="720"/>
      <w:contextualSpacing/>
    </w:pPr>
  </w:style>
  <w:style w:type="character" w:styleId="Hyperlink">
    <w:name w:val="Hyperlink"/>
    <w:basedOn w:val="DefaultParagraphFont"/>
    <w:uiPriority w:val="99"/>
    <w:unhideWhenUsed/>
    <w:rsid w:val="0002446B"/>
    <w:rPr>
      <w:color w:val="0000FF" w:themeColor="hyperlink"/>
      <w:u w:val="single"/>
    </w:rPr>
  </w:style>
  <w:style w:type="paragraph" w:styleId="FootnoteText">
    <w:name w:val="footnote text"/>
    <w:basedOn w:val="Normal"/>
    <w:link w:val="FootnoteTextChar"/>
    <w:uiPriority w:val="99"/>
    <w:semiHidden/>
    <w:unhideWhenUsed/>
    <w:rsid w:val="00D61F2E"/>
    <w:rPr>
      <w:sz w:val="20"/>
      <w:szCs w:val="20"/>
    </w:rPr>
  </w:style>
  <w:style w:type="character" w:customStyle="1" w:styleId="FootnoteTextChar">
    <w:name w:val="Footnote Text Char"/>
    <w:basedOn w:val="DefaultParagraphFont"/>
    <w:link w:val="FootnoteText"/>
    <w:uiPriority w:val="99"/>
    <w:semiHidden/>
    <w:rsid w:val="00D61F2E"/>
    <w:rPr>
      <w:sz w:val="20"/>
      <w:szCs w:val="20"/>
    </w:rPr>
  </w:style>
  <w:style w:type="character" w:styleId="FootnoteReference">
    <w:name w:val="footnote reference"/>
    <w:basedOn w:val="DefaultParagraphFont"/>
    <w:uiPriority w:val="99"/>
    <w:semiHidden/>
    <w:unhideWhenUsed/>
    <w:rsid w:val="00D61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flu/pandemic-resources/pdf/pandemic-influenza-implem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4EF7-9406-477A-880E-3B17D5C3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WFF</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J. Divney</dc:creator>
  <cp:lastModifiedBy>Stuart G. Glass</cp:lastModifiedBy>
  <cp:revision>17</cp:revision>
  <cp:lastPrinted>2020-05-27T20:04:00Z</cp:lastPrinted>
  <dcterms:created xsi:type="dcterms:W3CDTF">2020-06-19T15:38:00Z</dcterms:created>
  <dcterms:modified xsi:type="dcterms:W3CDTF">2020-06-27T13:16:00Z</dcterms:modified>
</cp:coreProperties>
</file>